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E4C7" w14:textId="5117CCAC" w:rsidR="00AF6A99" w:rsidRDefault="00AF6A99">
      <w:r>
        <w:rPr>
          <w:noProof/>
        </w:rPr>
        <w:drawing>
          <wp:inline distT="0" distB="0" distL="0" distR="0" wp14:anchorId="66D799AB" wp14:editId="782F34CC">
            <wp:extent cx="5731510" cy="1533525"/>
            <wp:effectExtent l="0" t="0" r="0" b="9525"/>
            <wp:docPr id="13694253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33525"/>
                    </a:xfrm>
                    <a:prstGeom prst="rect">
                      <a:avLst/>
                    </a:prstGeom>
                  </pic:spPr>
                </pic:pic>
              </a:graphicData>
            </a:graphic>
          </wp:inline>
        </w:drawing>
      </w:r>
    </w:p>
    <w:p w14:paraId="1913C2EB" w14:textId="77777777" w:rsidR="00AF6A99" w:rsidRDefault="00AF6A99"/>
    <w:p w14:paraId="196B012E" w14:textId="2C625C7D" w:rsidR="001F72AD" w:rsidRDefault="001F72AD">
      <w:r>
        <w:t xml:space="preserve">The Honourable Dan </w:t>
      </w:r>
      <w:proofErr w:type="spellStart"/>
      <w:r>
        <w:t>Tehan</w:t>
      </w:r>
      <w:proofErr w:type="spellEnd"/>
      <w:r>
        <w:t xml:space="preserve"> MP,</w:t>
      </w:r>
    </w:p>
    <w:p w14:paraId="5F068A12" w14:textId="303FCC30" w:rsidR="001F72AD" w:rsidRDefault="001F72AD">
      <w:r>
        <w:t>Minister for Education,</w:t>
      </w:r>
    </w:p>
    <w:p w14:paraId="1A890C9B" w14:textId="6F621702" w:rsidR="001F72AD" w:rsidRDefault="001F72AD">
      <w:r>
        <w:t>Parliament of Australia</w:t>
      </w:r>
    </w:p>
    <w:p w14:paraId="2119A6F6" w14:textId="57E69624" w:rsidR="001F72AD" w:rsidRDefault="001F72AD">
      <w:r w:rsidRPr="001F72AD">
        <w:t>190 Gray Street</w:t>
      </w:r>
      <w:r w:rsidRPr="001F72AD">
        <w:br/>
        <w:t>Hamilton, VIC, 3300</w:t>
      </w:r>
    </w:p>
    <w:p w14:paraId="441AB8DF" w14:textId="77777777" w:rsidR="001F72AD" w:rsidRDefault="001F72AD"/>
    <w:p w14:paraId="0E187D63" w14:textId="77777777" w:rsidR="001F72AD" w:rsidRDefault="001F72AD"/>
    <w:p w14:paraId="53C9D83B" w14:textId="3918F915" w:rsidR="006202FE" w:rsidRDefault="004F6F23">
      <w:r>
        <w:t>Monday 29</w:t>
      </w:r>
      <w:r w:rsidRPr="004F6F23">
        <w:rPr>
          <w:vertAlign w:val="superscript"/>
        </w:rPr>
        <w:t>th</w:t>
      </w:r>
      <w:r>
        <w:t xml:space="preserve"> </w:t>
      </w:r>
      <w:r w:rsidR="00F10F31">
        <w:t>June</w:t>
      </w:r>
      <w:r>
        <w:t xml:space="preserve"> 2020</w:t>
      </w:r>
    </w:p>
    <w:p w14:paraId="74813B23" w14:textId="1CC694F8" w:rsidR="004F6F23" w:rsidRDefault="004F6F23"/>
    <w:p w14:paraId="094DAD43" w14:textId="6E788C90" w:rsidR="004F6F23" w:rsidRDefault="004F6F23">
      <w:r>
        <w:t>Dear Minister</w:t>
      </w:r>
      <w:r w:rsidR="00DF2AC9">
        <w:t xml:space="preserve"> </w:t>
      </w:r>
      <w:r>
        <w:t>Tehan,</w:t>
      </w:r>
    </w:p>
    <w:p w14:paraId="3CDEF7A7" w14:textId="50CF8F11" w:rsidR="004F6F23" w:rsidRDefault="004F6F23"/>
    <w:p w14:paraId="45B0715E" w14:textId="78543389" w:rsidR="004F6F23" w:rsidRDefault="004F6F23">
      <w:r>
        <w:t>I write to you, as President of the Australian Tertiary Education Network on Disability (ATEND), to firstly commend the Federal Government for delivering responsive equity policy during COVID-19, and for your demonstratable commitment to addressing the needs of Indigenous, Regional and Low</w:t>
      </w:r>
      <w:r w:rsidR="00A1338A">
        <w:t xml:space="preserve"> </w:t>
      </w:r>
      <w:r>
        <w:t>S</w:t>
      </w:r>
      <w:r w:rsidR="00A1338A">
        <w:t>ocio-Economic Status (Low S</w:t>
      </w:r>
      <w:r>
        <w:t>ES</w:t>
      </w:r>
      <w:r w:rsidR="00A1338A">
        <w:t>)</w:t>
      </w:r>
      <w:r>
        <w:t xml:space="preserve"> </w:t>
      </w:r>
      <w:r w:rsidR="00787304">
        <w:t>S</w:t>
      </w:r>
      <w:r>
        <w:t xml:space="preserve">tudents in your proposed </w:t>
      </w:r>
      <w:r w:rsidR="00944F29">
        <w:t>Higher Education Reforms, as articulated in your National Press Club address on 19</w:t>
      </w:r>
      <w:r w:rsidR="00944F29" w:rsidRPr="00944F29">
        <w:rPr>
          <w:vertAlign w:val="superscript"/>
        </w:rPr>
        <w:t>th</w:t>
      </w:r>
      <w:r w:rsidR="00944F29">
        <w:t xml:space="preserve"> June 2020. I also write to draw your attention to key issues pertaining to the needs of Students with Disability in Higher Education</w:t>
      </w:r>
      <w:r w:rsidR="0038475B">
        <w:t xml:space="preserve">, which </w:t>
      </w:r>
      <w:r w:rsidR="000309B9">
        <w:t>do not appear to have been considered in the proposed reforms.</w:t>
      </w:r>
    </w:p>
    <w:p w14:paraId="6B5838F4" w14:textId="328DE1CD" w:rsidR="000309B9" w:rsidRDefault="000309B9"/>
    <w:p w14:paraId="081C4460" w14:textId="05311259" w:rsidR="000309B9" w:rsidRDefault="000309B9">
      <w:r>
        <w:t xml:space="preserve">I seek your commitment to work with </w:t>
      </w:r>
      <w:r w:rsidR="000638B2">
        <w:t>ATEND</w:t>
      </w:r>
      <w:r>
        <w:t>, and the Higher Education sector, to disrupt the trend of disability equity being omitted from consideration in Higher Education Policy, as evidenced by:</w:t>
      </w:r>
    </w:p>
    <w:p w14:paraId="3D012430" w14:textId="3176E71E" w:rsidR="000309B9" w:rsidRDefault="000309B9" w:rsidP="000309B9">
      <w:pPr>
        <w:pStyle w:val="NormalWeb"/>
        <w:numPr>
          <w:ilvl w:val="0"/>
          <w:numId w:val="1"/>
        </w:numPr>
        <w:rPr>
          <w:rFonts w:ascii="SymbolMT" w:hAnsi="SymbolMT"/>
        </w:rPr>
      </w:pPr>
      <w:r>
        <w:rPr>
          <w:rFonts w:ascii="Calibri" w:hAnsi="Calibri" w:cs="Calibri"/>
          <w:i/>
          <w:iCs/>
        </w:rPr>
        <w:t>Higher Education in Australia: A review of reviews from Dawkins to toda</w:t>
      </w:r>
      <w:r w:rsidR="006F2388">
        <w:rPr>
          <w:rFonts w:ascii="Calibri" w:hAnsi="Calibri" w:cs="Calibri"/>
          <w:i/>
          <w:iCs/>
        </w:rPr>
        <w:t>y</w:t>
      </w:r>
      <w:r w:rsidR="006F2388">
        <w:rPr>
          <w:rStyle w:val="EndnoteReference"/>
          <w:rFonts w:ascii="Calibri" w:hAnsi="Calibri" w:cs="Calibri"/>
          <w:i/>
          <w:iCs/>
        </w:rPr>
        <w:endnoteReference w:id="1"/>
      </w:r>
      <w:r w:rsidR="006F2388">
        <w:rPr>
          <w:rFonts w:ascii="Calibri" w:hAnsi="Calibri" w:cs="Calibri"/>
          <w:i/>
          <w:iCs/>
        </w:rPr>
        <w:t xml:space="preserve"> </w:t>
      </w:r>
      <w:r>
        <w:rPr>
          <w:rFonts w:ascii="Calibri" w:hAnsi="Calibri" w:cs="Calibri"/>
          <w:i/>
          <w:iCs/>
          <w:position w:val="8"/>
          <w:sz w:val="16"/>
          <w:szCs w:val="16"/>
        </w:rPr>
        <w:t xml:space="preserve"> </w:t>
      </w:r>
      <w:r>
        <w:rPr>
          <w:rFonts w:ascii="Calibri" w:hAnsi="Calibri" w:cs="Calibri"/>
        </w:rPr>
        <w:t xml:space="preserve">in which disability fails to be mentioned </w:t>
      </w:r>
    </w:p>
    <w:p w14:paraId="6FD62C63" w14:textId="6166A485" w:rsidR="000309B9" w:rsidRPr="000309B9" w:rsidRDefault="000309B9" w:rsidP="000309B9">
      <w:pPr>
        <w:pStyle w:val="NormalWeb"/>
        <w:numPr>
          <w:ilvl w:val="0"/>
          <w:numId w:val="1"/>
        </w:numPr>
        <w:rPr>
          <w:rFonts w:ascii="SymbolMT" w:hAnsi="SymbolMT"/>
        </w:rPr>
      </w:pPr>
      <w:r>
        <w:rPr>
          <w:rFonts w:ascii="Calibri" w:hAnsi="Calibri" w:cs="Calibri"/>
          <w:i/>
          <w:iCs/>
        </w:rPr>
        <w:t>Performance-Based Funding for the Commonwealth Grant Scheme</w:t>
      </w:r>
      <w:r w:rsidR="006F2388">
        <w:rPr>
          <w:rStyle w:val="EndnoteReference"/>
          <w:rFonts w:ascii="Calibri" w:hAnsi="Calibri" w:cs="Calibri"/>
          <w:i/>
          <w:iCs/>
        </w:rPr>
        <w:endnoteReference w:id="2"/>
      </w:r>
      <w:r w:rsidR="006F2388">
        <w:rPr>
          <w:rFonts w:ascii="Calibri" w:hAnsi="Calibri" w:cs="Calibri"/>
          <w:i/>
          <w:iCs/>
          <w:position w:val="8"/>
          <w:sz w:val="16"/>
          <w:szCs w:val="16"/>
        </w:rPr>
        <w:t xml:space="preserve"> </w:t>
      </w:r>
      <w:r>
        <w:rPr>
          <w:rFonts w:ascii="Calibri" w:hAnsi="Calibri" w:cs="Calibri"/>
        </w:rPr>
        <w:t>in which disability is notably absent from the recommendations, including Recommendation 12, which states that ‘Equity group participation should be a performance measure’</w:t>
      </w:r>
    </w:p>
    <w:p w14:paraId="29D635A2" w14:textId="44F437D3" w:rsidR="00147F00" w:rsidRDefault="00147F00" w:rsidP="00D834C4">
      <w:pPr>
        <w:pStyle w:val="NormalWeb"/>
        <w:rPr>
          <w:rFonts w:ascii="Calibri" w:hAnsi="Calibri" w:cs="Calibri"/>
        </w:rPr>
      </w:pPr>
      <w:r>
        <w:rPr>
          <w:rFonts w:ascii="Calibri" w:hAnsi="Calibri" w:cs="Calibri"/>
        </w:rPr>
        <w:t xml:space="preserve">To meet Australia’s obligations </w:t>
      </w:r>
      <w:r w:rsidRPr="00147F00">
        <w:rPr>
          <w:rFonts w:ascii="Calibri" w:hAnsi="Calibri" w:cs="Calibri"/>
        </w:rPr>
        <w:t xml:space="preserve">in accordance with ratification of the </w:t>
      </w:r>
      <w:r w:rsidRPr="00147F00">
        <w:rPr>
          <w:rFonts w:ascii="Calibri" w:hAnsi="Calibri" w:cs="Calibri"/>
          <w:i/>
          <w:iCs/>
        </w:rPr>
        <w:t>U</w:t>
      </w:r>
      <w:r w:rsidR="00A1338A">
        <w:rPr>
          <w:rFonts w:ascii="Calibri" w:hAnsi="Calibri" w:cs="Calibri"/>
          <w:i/>
          <w:iCs/>
        </w:rPr>
        <w:t xml:space="preserve">nited </w:t>
      </w:r>
      <w:r w:rsidRPr="00147F00">
        <w:rPr>
          <w:rFonts w:ascii="Calibri" w:hAnsi="Calibri" w:cs="Calibri"/>
          <w:i/>
          <w:iCs/>
        </w:rPr>
        <w:t>N</w:t>
      </w:r>
      <w:r w:rsidR="00A1338A">
        <w:rPr>
          <w:rFonts w:ascii="Calibri" w:hAnsi="Calibri" w:cs="Calibri"/>
          <w:i/>
          <w:iCs/>
        </w:rPr>
        <w:t>ations</w:t>
      </w:r>
      <w:r w:rsidRPr="00147F00">
        <w:rPr>
          <w:rFonts w:ascii="Calibri" w:hAnsi="Calibri" w:cs="Calibri"/>
          <w:i/>
          <w:iCs/>
        </w:rPr>
        <w:t xml:space="preserve"> Convention on the Rights of Persons with Disabilities</w:t>
      </w:r>
      <w:r w:rsidRPr="00147F00">
        <w:rPr>
          <w:rFonts w:ascii="Calibri" w:hAnsi="Calibri" w:cs="Calibri"/>
        </w:rPr>
        <w:t xml:space="preserve">, in particular </w:t>
      </w:r>
      <w:r w:rsidRPr="00147F00">
        <w:rPr>
          <w:rFonts w:ascii="Calibri" w:hAnsi="Calibri" w:cs="Calibri"/>
          <w:i/>
          <w:iCs/>
        </w:rPr>
        <w:t>UNCRPD Article 24</w:t>
      </w:r>
      <w:r w:rsidR="00B55143">
        <w:rPr>
          <w:rFonts w:ascii="Calibri" w:hAnsi="Calibri" w:cs="Calibri"/>
          <w:i/>
          <w:iCs/>
        </w:rPr>
        <w:t xml:space="preserve"> -</w:t>
      </w:r>
      <w:r w:rsidRPr="00147F00">
        <w:rPr>
          <w:rFonts w:ascii="Calibri" w:hAnsi="Calibri" w:cs="Calibri"/>
          <w:i/>
          <w:iCs/>
        </w:rPr>
        <w:t xml:space="preserve"> Education</w:t>
      </w:r>
      <w:r>
        <w:rPr>
          <w:rStyle w:val="EndnoteReference"/>
          <w:rFonts w:ascii="Calibri" w:hAnsi="Calibri" w:cs="Calibri"/>
        </w:rPr>
        <w:endnoteReference w:id="3"/>
      </w:r>
      <w:r>
        <w:rPr>
          <w:rFonts w:ascii="Calibri" w:hAnsi="Calibri" w:cs="Calibri"/>
        </w:rPr>
        <w:t xml:space="preserve">, and aligned to </w:t>
      </w:r>
      <w:r w:rsidR="00B55143" w:rsidRPr="000638B2">
        <w:rPr>
          <w:rFonts w:ascii="Calibri" w:hAnsi="Calibri" w:cs="Calibri"/>
          <w:iCs/>
        </w:rPr>
        <w:t>t</w:t>
      </w:r>
      <w:r w:rsidRPr="000638B2">
        <w:rPr>
          <w:rFonts w:ascii="Calibri" w:hAnsi="Calibri" w:cs="Calibri"/>
          <w:iCs/>
        </w:rPr>
        <w:t>he</w:t>
      </w:r>
      <w:r w:rsidRPr="00147F00">
        <w:rPr>
          <w:rFonts w:ascii="Calibri" w:hAnsi="Calibri" w:cs="Calibri"/>
          <w:i/>
          <w:iCs/>
        </w:rPr>
        <w:t xml:space="preserve"> National Disability Strategy 2010-2020 </w:t>
      </w:r>
      <w:r w:rsidR="00B55143">
        <w:rPr>
          <w:rFonts w:ascii="Calibri" w:hAnsi="Calibri" w:cs="Calibri"/>
          <w:i/>
          <w:iCs/>
        </w:rPr>
        <w:t>L</w:t>
      </w:r>
      <w:r w:rsidRPr="00147F00">
        <w:rPr>
          <w:rFonts w:ascii="Calibri" w:hAnsi="Calibri" w:cs="Calibri"/>
          <w:i/>
          <w:iCs/>
        </w:rPr>
        <w:t xml:space="preserve">earning and </w:t>
      </w:r>
      <w:r w:rsidR="00B55143">
        <w:rPr>
          <w:rFonts w:ascii="Calibri" w:hAnsi="Calibri" w:cs="Calibri"/>
          <w:i/>
          <w:iCs/>
        </w:rPr>
        <w:t>S</w:t>
      </w:r>
      <w:r w:rsidRPr="00147F00">
        <w:rPr>
          <w:rFonts w:ascii="Calibri" w:hAnsi="Calibri" w:cs="Calibri"/>
          <w:i/>
          <w:iCs/>
        </w:rPr>
        <w:t>kills policy direction</w:t>
      </w:r>
      <w:r w:rsidRPr="00147F00">
        <w:rPr>
          <w:rFonts w:ascii="Calibri" w:hAnsi="Calibri" w:cs="Calibri"/>
        </w:rPr>
        <w:t xml:space="preserve"> to ‘Improve the pathways </w:t>
      </w:r>
      <w:r w:rsidR="00B55143">
        <w:rPr>
          <w:rFonts w:ascii="Calibri" w:hAnsi="Calibri" w:cs="Calibri"/>
        </w:rPr>
        <w:t>for</w:t>
      </w:r>
      <w:r w:rsidRPr="00147F00">
        <w:rPr>
          <w:rFonts w:ascii="Calibri" w:hAnsi="Calibri" w:cs="Calibri"/>
        </w:rPr>
        <w:t xml:space="preserve"> students from school to further education, employment and lifelong learning’</w:t>
      </w:r>
      <w:r>
        <w:rPr>
          <w:rStyle w:val="EndnoteReference"/>
          <w:rFonts w:ascii="Calibri" w:hAnsi="Calibri" w:cs="Calibri"/>
          <w:i/>
          <w:iCs/>
        </w:rPr>
        <w:endnoteReference w:id="4"/>
      </w:r>
      <w:r w:rsidRPr="00147F00">
        <w:rPr>
          <w:rFonts w:ascii="Calibri" w:hAnsi="Calibri" w:cs="Calibri"/>
        </w:rPr>
        <w:t xml:space="preserve"> </w:t>
      </w:r>
      <w:r>
        <w:rPr>
          <w:rFonts w:ascii="Calibri" w:hAnsi="Calibri" w:cs="Calibri"/>
        </w:rPr>
        <w:t>w</w:t>
      </w:r>
      <w:r w:rsidR="00D834C4">
        <w:rPr>
          <w:rFonts w:ascii="Calibri" w:hAnsi="Calibri" w:cs="Calibri"/>
        </w:rPr>
        <w:t xml:space="preserve">e must </w:t>
      </w:r>
      <w:r w:rsidR="006F2388">
        <w:rPr>
          <w:rFonts w:ascii="Calibri" w:hAnsi="Calibri" w:cs="Calibri"/>
        </w:rPr>
        <w:t xml:space="preserve">build on the key findings and recommendations of the </w:t>
      </w:r>
      <w:r w:rsidR="006F2388" w:rsidRPr="006F2388">
        <w:rPr>
          <w:rFonts w:ascii="Calibri" w:hAnsi="Calibri" w:cs="Calibri"/>
          <w:i/>
          <w:iCs/>
        </w:rPr>
        <w:t xml:space="preserve">National Regional, </w:t>
      </w:r>
      <w:r w:rsidR="006F2388">
        <w:rPr>
          <w:rFonts w:ascii="Calibri" w:hAnsi="Calibri" w:cs="Calibri"/>
          <w:i/>
          <w:iCs/>
        </w:rPr>
        <w:t>R</w:t>
      </w:r>
      <w:r w:rsidR="006F2388" w:rsidRPr="006F2388">
        <w:rPr>
          <w:rFonts w:ascii="Calibri" w:hAnsi="Calibri" w:cs="Calibri"/>
          <w:i/>
          <w:iCs/>
        </w:rPr>
        <w:t>ural and Remote Tertiary Education Strategy</w:t>
      </w:r>
      <w:r w:rsidR="006F2388">
        <w:rPr>
          <w:rStyle w:val="EndnoteReference"/>
          <w:rFonts w:ascii="Calibri" w:hAnsi="Calibri" w:cs="Calibri"/>
        </w:rPr>
        <w:endnoteReference w:id="5"/>
      </w:r>
      <w:r w:rsidR="00D834C4">
        <w:rPr>
          <w:rFonts w:ascii="Calibri" w:hAnsi="Calibri" w:cs="Calibri"/>
        </w:rPr>
        <w:t xml:space="preserve"> </w:t>
      </w:r>
      <w:r>
        <w:rPr>
          <w:rFonts w:ascii="Calibri" w:hAnsi="Calibri" w:cs="Calibri"/>
        </w:rPr>
        <w:t xml:space="preserve">and achieve the target of parity established by </w:t>
      </w:r>
      <w:r w:rsidRPr="00E9116E">
        <w:rPr>
          <w:rFonts w:ascii="Calibri" w:hAnsi="Calibri" w:cs="Calibri"/>
          <w:i/>
          <w:iCs/>
        </w:rPr>
        <w:t>A Fair Chance for All</w:t>
      </w:r>
      <w:r>
        <w:rPr>
          <w:rStyle w:val="EndnoteReference"/>
          <w:rFonts w:ascii="Calibri" w:hAnsi="Calibri" w:cs="Calibri"/>
          <w:i/>
          <w:iCs/>
        </w:rPr>
        <w:endnoteReference w:id="6"/>
      </w:r>
      <w:r>
        <w:rPr>
          <w:rFonts w:ascii="Calibri" w:hAnsi="Calibri" w:cs="Calibri"/>
          <w:i/>
          <w:iCs/>
        </w:rPr>
        <w:t xml:space="preserve"> </w:t>
      </w:r>
      <w:r>
        <w:rPr>
          <w:rFonts w:ascii="Calibri" w:hAnsi="Calibri" w:cs="Calibri"/>
        </w:rPr>
        <w:t>by</w:t>
      </w:r>
      <w:r w:rsidR="00DF2AC9">
        <w:rPr>
          <w:rFonts w:ascii="Calibri" w:hAnsi="Calibri" w:cs="Calibri"/>
        </w:rPr>
        <w:t xml:space="preserve"> ensuring that</w:t>
      </w:r>
      <w:r>
        <w:rPr>
          <w:rFonts w:ascii="Calibri" w:hAnsi="Calibri" w:cs="Calibri"/>
        </w:rPr>
        <w:t>:</w:t>
      </w:r>
    </w:p>
    <w:p w14:paraId="70B2561E" w14:textId="514A19E9" w:rsidR="00147F00" w:rsidRPr="00334196" w:rsidRDefault="00DF2AC9" w:rsidP="00334196">
      <w:pPr>
        <w:pStyle w:val="NormalWeb"/>
        <w:numPr>
          <w:ilvl w:val="0"/>
          <w:numId w:val="5"/>
        </w:numPr>
        <w:rPr>
          <w:rStyle w:val="IntenseEmphasis"/>
          <w:rFonts w:asciiTheme="minorHAnsi" w:hAnsiTheme="minorHAnsi" w:cstheme="minorHAnsi"/>
          <w:i w:val="0"/>
          <w:iCs w:val="0"/>
        </w:rPr>
      </w:pPr>
      <w:r w:rsidRPr="00334196">
        <w:rPr>
          <w:rStyle w:val="IntenseEmphasis"/>
          <w:rFonts w:asciiTheme="minorHAnsi" w:hAnsiTheme="minorHAnsi" w:cstheme="minorHAnsi"/>
          <w:i w:val="0"/>
          <w:iCs w:val="0"/>
        </w:rPr>
        <w:lastRenderedPageBreak/>
        <w:t>T</w:t>
      </w:r>
      <w:r w:rsidR="00147F00" w:rsidRPr="00334196">
        <w:rPr>
          <w:rStyle w:val="IntenseEmphasis"/>
          <w:rFonts w:asciiTheme="minorHAnsi" w:hAnsiTheme="minorHAnsi" w:cstheme="minorHAnsi"/>
          <w:i w:val="0"/>
          <w:iCs w:val="0"/>
        </w:rPr>
        <w:t>ailored support for Students with Disability is designed into all wider initiatives from the outset</w:t>
      </w:r>
    </w:p>
    <w:p w14:paraId="5E186035" w14:textId="2A977EB0" w:rsidR="00DF2AC9" w:rsidRPr="00334196" w:rsidRDefault="00DF2AC9" w:rsidP="00334196">
      <w:pPr>
        <w:pStyle w:val="NormalWeb"/>
        <w:numPr>
          <w:ilvl w:val="0"/>
          <w:numId w:val="5"/>
        </w:numPr>
        <w:rPr>
          <w:rStyle w:val="IntenseEmphasis"/>
          <w:rFonts w:asciiTheme="minorHAnsi" w:hAnsiTheme="minorHAnsi" w:cstheme="minorHAnsi"/>
          <w:i w:val="0"/>
          <w:iCs w:val="0"/>
        </w:rPr>
      </w:pPr>
      <w:r w:rsidRPr="00334196">
        <w:rPr>
          <w:rStyle w:val="IntenseEmphasis"/>
          <w:rFonts w:asciiTheme="minorHAnsi" w:hAnsiTheme="minorHAnsi" w:cstheme="minorHAnsi"/>
          <w:i w:val="0"/>
          <w:iCs w:val="0"/>
        </w:rPr>
        <w:t xml:space="preserve">Funding to meet the specific needs of Students with Disability is proportionate to the </w:t>
      </w:r>
      <w:r w:rsidR="00561ECB">
        <w:rPr>
          <w:rStyle w:val="IntenseEmphasis"/>
          <w:rFonts w:asciiTheme="minorHAnsi" w:hAnsiTheme="minorHAnsi" w:cstheme="minorHAnsi"/>
          <w:i w:val="0"/>
          <w:iCs w:val="0"/>
        </w:rPr>
        <w:t>participation</w:t>
      </w:r>
      <w:r w:rsidR="00561ECB" w:rsidRPr="00334196">
        <w:rPr>
          <w:rStyle w:val="IntenseEmphasis"/>
          <w:rFonts w:asciiTheme="minorHAnsi" w:hAnsiTheme="minorHAnsi" w:cstheme="minorHAnsi"/>
          <w:i w:val="0"/>
          <w:iCs w:val="0"/>
        </w:rPr>
        <w:t xml:space="preserve"> </w:t>
      </w:r>
      <w:r w:rsidRPr="00334196">
        <w:rPr>
          <w:rStyle w:val="IntenseEmphasis"/>
          <w:rFonts w:asciiTheme="minorHAnsi" w:hAnsiTheme="minorHAnsi" w:cstheme="minorHAnsi"/>
          <w:i w:val="0"/>
          <w:iCs w:val="0"/>
        </w:rPr>
        <w:t xml:space="preserve">rate of Students with Disability in Higher Education, and is increased comparably to funding increases proposed for Indigenous, Regional and Low-SES </w:t>
      </w:r>
      <w:r w:rsidR="00A03B5C">
        <w:rPr>
          <w:rStyle w:val="IntenseEmphasis"/>
          <w:rFonts w:asciiTheme="minorHAnsi" w:hAnsiTheme="minorHAnsi" w:cstheme="minorHAnsi"/>
          <w:i w:val="0"/>
          <w:iCs w:val="0"/>
        </w:rPr>
        <w:t>S</w:t>
      </w:r>
      <w:r w:rsidRPr="00334196">
        <w:rPr>
          <w:rStyle w:val="IntenseEmphasis"/>
          <w:rFonts w:asciiTheme="minorHAnsi" w:hAnsiTheme="minorHAnsi" w:cstheme="minorHAnsi"/>
          <w:i w:val="0"/>
          <w:iCs w:val="0"/>
        </w:rPr>
        <w:t>tudents</w:t>
      </w:r>
    </w:p>
    <w:p w14:paraId="2C7FFF5A" w14:textId="25FBB649" w:rsidR="008D2C8F" w:rsidRPr="00334196" w:rsidRDefault="00DF2AC9" w:rsidP="00334196">
      <w:pPr>
        <w:pStyle w:val="NormalWeb"/>
        <w:numPr>
          <w:ilvl w:val="0"/>
          <w:numId w:val="5"/>
        </w:numPr>
        <w:spacing w:after="720" w:afterAutospacing="0"/>
        <w:rPr>
          <w:rStyle w:val="IntenseEmphasis"/>
          <w:rFonts w:asciiTheme="minorHAnsi" w:hAnsiTheme="minorHAnsi" w:cstheme="minorHAnsi"/>
          <w:i w:val="0"/>
          <w:iCs w:val="0"/>
        </w:rPr>
      </w:pPr>
      <w:r w:rsidRPr="00334196">
        <w:rPr>
          <w:rStyle w:val="IntenseEmphasis"/>
          <w:rFonts w:asciiTheme="minorHAnsi" w:hAnsiTheme="minorHAnsi" w:cstheme="minorHAnsi"/>
          <w:i w:val="0"/>
          <w:iCs w:val="0"/>
        </w:rPr>
        <w:t xml:space="preserve">Commitment is made to scoping the development of a National Strategy for Students with Disability in </w:t>
      </w:r>
      <w:r w:rsidR="000638B2">
        <w:rPr>
          <w:rStyle w:val="IntenseEmphasis"/>
          <w:rFonts w:asciiTheme="minorHAnsi" w:hAnsiTheme="minorHAnsi" w:cstheme="minorHAnsi"/>
          <w:i w:val="0"/>
          <w:iCs w:val="0"/>
        </w:rPr>
        <w:t>Tertiary</w:t>
      </w:r>
      <w:r w:rsidR="000638B2" w:rsidRPr="00334196">
        <w:rPr>
          <w:rStyle w:val="IntenseEmphasis"/>
          <w:rFonts w:asciiTheme="minorHAnsi" w:hAnsiTheme="minorHAnsi" w:cstheme="minorHAnsi"/>
          <w:i w:val="0"/>
          <w:iCs w:val="0"/>
        </w:rPr>
        <w:t xml:space="preserve"> </w:t>
      </w:r>
      <w:r w:rsidRPr="00334196">
        <w:rPr>
          <w:rStyle w:val="IntenseEmphasis"/>
          <w:rFonts w:asciiTheme="minorHAnsi" w:hAnsiTheme="minorHAnsi" w:cstheme="minorHAnsi"/>
          <w:i w:val="0"/>
          <w:iCs w:val="0"/>
        </w:rPr>
        <w:t>Education.</w:t>
      </w:r>
    </w:p>
    <w:p w14:paraId="77BD288C" w14:textId="70F6FDDB" w:rsidR="008D2C8F" w:rsidRDefault="008D2C8F" w:rsidP="008D2C8F">
      <w:pPr>
        <w:pStyle w:val="Heading1"/>
        <w:rPr>
          <w:lang w:val="en-AU"/>
        </w:rPr>
      </w:pPr>
      <w:r>
        <w:rPr>
          <w:lang w:val="en-AU"/>
        </w:rPr>
        <w:t>Inequity in Higher education equity policy</w:t>
      </w:r>
    </w:p>
    <w:p w14:paraId="74490676" w14:textId="12F6D509" w:rsidR="00944F29" w:rsidRDefault="00944F29"/>
    <w:p w14:paraId="351099C2" w14:textId="379A4955" w:rsidR="008D2C8F" w:rsidRPr="008D2C8F" w:rsidRDefault="00E0202D" w:rsidP="008D2C8F">
      <w:r>
        <w:t xml:space="preserve">Amongst equity cohorts, </w:t>
      </w:r>
      <w:r w:rsidR="008D2C8F" w:rsidRPr="008D2C8F">
        <w:t>Students with Disability are</w:t>
      </w:r>
      <w:r w:rsidR="00A55E97">
        <w:t xml:space="preserve"> the</w:t>
      </w:r>
      <w:r w:rsidR="008D2C8F" w:rsidRPr="008D2C8F">
        <w:t>:</w:t>
      </w:r>
    </w:p>
    <w:p w14:paraId="58E77D45" w14:textId="30D703AA" w:rsidR="008D2C8F" w:rsidRPr="008D2C8F" w:rsidRDefault="008D2C8F" w:rsidP="008D2C8F">
      <w:pPr>
        <w:numPr>
          <w:ilvl w:val="0"/>
          <w:numId w:val="4"/>
        </w:numPr>
      </w:pPr>
      <w:r>
        <w:t xml:space="preserve">second </w:t>
      </w:r>
      <w:r w:rsidRPr="008D2C8F">
        <w:t>least funded</w:t>
      </w:r>
      <w:r>
        <w:t xml:space="preserve"> ($173.36/student p.a.)</w:t>
      </w:r>
      <w:r w:rsidRPr="008D2C8F">
        <w:t>,</w:t>
      </w:r>
    </w:p>
    <w:p w14:paraId="43BD9915" w14:textId="43B45FF5" w:rsidR="008D2C8F" w:rsidRPr="008D2C8F" w:rsidRDefault="00B460B1" w:rsidP="008D2C8F">
      <w:pPr>
        <w:numPr>
          <w:ilvl w:val="0"/>
          <w:numId w:val="4"/>
        </w:numPr>
      </w:pPr>
      <w:r>
        <w:t>f</w:t>
      </w:r>
      <w:r w:rsidR="008D2C8F" w:rsidRPr="008D2C8F">
        <w:t xml:space="preserve">astest growing </w:t>
      </w:r>
      <w:r w:rsidR="000638B2" w:rsidRPr="008D2C8F">
        <w:t xml:space="preserve">equity group in Higher Education </w:t>
      </w:r>
      <w:r w:rsidR="008D2C8F">
        <w:t>(</w:t>
      </w:r>
      <w:r w:rsidR="008D2C8F" w:rsidRPr="008D2C8F">
        <w:t xml:space="preserve">growth rate of 50% </w:t>
      </w:r>
      <w:r w:rsidR="008D2C8F">
        <w:t>c</w:t>
      </w:r>
      <w:r w:rsidR="008D2C8F" w:rsidRPr="008D2C8F">
        <w:t xml:space="preserve">ompared to all students 12.6% </w:t>
      </w:r>
      <w:r w:rsidR="008D2C8F">
        <w:t>from 2013 – 2018)</w:t>
      </w:r>
      <w:r w:rsidR="008D2C8F">
        <w:rPr>
          <w:rStyle w:val="EndnoteReference"/>
        </w:rPr>
        <w:endnoteReference w:id="7"/>
      </w:r>
      <w:r w:rsidR="008D2C8F">
        <w:t xml:space="preserve"> </w:t>
      </w:r>
      <w:r w:rsidR="00A55E97">
        <w:t xml:space="preserve"> </w:t>
      </w:r>
    </w:p>
    <w:p w14:paraId="5BA68C60" w14:textId="4FC15BDF" w:rsidR="008D2C8F" w:rsidRDefault="008D2C8F" w:rsidP="008D2C8F">
      <w:pPr>
        <w:numPr>
          <w:ilvl w:val="0"/>
          <w:numId w:val="4"/>
        </w:numPr>
      </w:pPr>
      <w:r w:rsidRPr="008D2C8F">
        <w:t xml:space="preserve">second lowest </w:t>
      </w:r>
      <w:r>
        <w:t xml:space="preserve">graduate </w:t>
      </w:r>
      <w:r w:rsidRPr="008D2C8F">
        <w:t xml:space="preserve">employment outcome </w:t>
      </w:r>
      <w:r w:rsidR="009C5C28">
        <w:t xml:space="preserve">(66% full-time) </w:t>
      </w:r>
      <w:r w:rsidRPr="008D2C8F">
        <w:t>of any measured equity group</w:t>
      </w:r>
      <w:r>
        <w:rPr>
          <w:rStyle w:val="EndnoteReference"/>
        </w:rPr>
        <w:endnoteReference w:id="8"/>
      </w:r>
      <w:r w:rsidRPr="008D2C8F">
        <w:t xml:space="preserve">. </w:t>
      </w:r>
    </w:p>
    <w:p w14:paraId="6E9E11F1" w14:textId="412337F2" w:rsidR="00334196" w:rsidRDefault="00334196" w:rsidP="00334196"/>
    <w:p w14:paraId="7F26203E" w14:textId="74AFE8DA" w:rsidR="00334196" w:rsidRPr="008D2C8F" w:rsidRDefault="00334196" w:rsidP="00334196">
      <w:r>
        <w:rPr>
          <w:noProof/>
          <w:lang w:eastAsia="en-AU"/>
        </w:rPr>
        <w:drawing>
          <wp:inline distT="0" distB="0" distL="0" distR="0" wp14:anchorId="1B84D6A1" wp14:editId="5B8FE919">
            <wp:extent cx="5486400" cy="3200400"/>
            <wp:effectExtent l="0" t="0" r="12700" b="12700"/>
            <wp:docPr id="1" name="Chart 1" descr="Bar chart showing the Annual Spend per Equity Student (See Appendix A for detail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57753E" w14:textId="3E4C0AD8" w:rsidR="008D2C8F" w:rsidRPr="007D2896" w:rsidRDefault="007D2896" w:rsidP="00D875CA">
      <w:pPr>
        <w:spacing w:after="360"/>
        <w:rPr>
          <w:i/>
          <w:iCs/>
          <w:color w:val="002060"/>
          <w:sz w:val="20"/>
          <w:szCs w:val="20"/>
        </w:rPr>
      </w:pPr>
      <w:r>
        <w:rPr>
          <w:i/>
          <w:iCs/>
          <w:color w:val="002060"/>
          <w:sz w:val="20"/>
          <w:szCs w:val="20"/>
        </w:rPr>
        <w:t xml:space="preserve">See Appendix </w:t>
      </w:r>
      <w:r w:rsidR="00C51456">
        <w:rPr>
          <w:i/>
          <w:iCs/>
          <w:color w:val="002060"/>
          <w:sz w:val="20"/>
          <w:szCs w:val="20"/>
        </w:rPr>
        <w:t xml:space="preserve">A </w:t>
      </w:r>
      <w:r>
        <w:rPr>
          <w:i/>
          <w:iCs/>
          <w:color w:val="002060"/>
          <w:sz w:val="20"/>
          <w:szCs w:val="20"/>
        </w:rPr>
        <w:t>for detailed source information</w:t>
      </w:r>
    </w:p>
    <w:p w14:paraId="3E3A6C04" w14:textId="47EE4E15" w:rsidR="00D875CA" w:rsidRDefault="00D875CA" w:rsidP="00334196">
      <w:pPr>
        <w:spacing w:after="480"/>
      </w:pPr>
      <w:r>
        <w:t>Figure 1 reflects the unbalanced investment on equity groups in Higher Education to the particular detriment of Students with Disability.  The funding allocations for Students with Disability contribute towards the cost of meeting very real access requirements – including assistive technology, modifications and adaptions, captions and Auslan, providing specific disability related services on campus, and more.  Th</w:t>
      </w:r>
      <w:r w:rsidR="008B6DE8">
        <w:t>is</w:t>
      </w:r>
      <w:r>
        <w:t xml:space="preserve"> data showcases the inequity experienced by Students with Disability in Higher Education Equity Policy.</w:t>
      </w:r>
    </w:p>
    <w:p w14:paraId="455C0C9B" w14:textId="676278ED" w:rsidR="007D2896" w:rsidRDefault="007D2896" w:rsidP="007D2896">
      <w:r>
        <w:lastRenderedPageBreak/>
        <w:t xml:space="preserve">Students with Disability are the fastest growing equity group in Higher Education in Australia, far outpacing any other measured equity group.  Recent Ministerial announcements, including those described </w:t>
      </w:r>
      <w:r w:rsidR="00CE28AC">
        <w:t xml:space="preserve">in </w:t>
      </w:r>
      <w:r>
        <w:t>your National Press Club address on 19</w:t>
      </w:r>
      <w:r w:rsidRPr="00944F29">
        <w:rPr>
          <w:vertAlign w:val="superscript"/>
        </w:rPr>
        <w:t>th</w:t>
      </w:r>
      <w:r>
        <w:t xml:space="preserve"> </w:t>
      </w:r>
      <w:r w:rsidR="00390FE9">
        <w:t>June</w:t>
      </w:r>
      <w:r>
        <w:t xml:space="preserve"> 2020</w:t>
      </w:r>
      <w:r w:rsidR="00083C60">
        <w:t>,</w:t>
      </w:r>
      <w:r>
        <w:t xml:space="preserve"> highlight a renewed focus on performance-based measurements for students in equity groups</w:t>
      </w:r>
      <w:r w:rsidR="00755032">
        <w:t>, yet all</w:t>
      </w:r>
      <w:r w:rsidR="00390FE9">
        <w:t xml:space="preserve"> recent </w:t>
      </w:r>
      <w:r>
        <w:t xml:space="preserve">announcements </w:t>
      </w:r>
      <w:r w:rsidR="00390FE9">
        <w:t>omitt</w:t>
      </w:r>
      <w:r>
        <w:t xml:space="preserve">ed either discussion of, or </w:t>
      </w:r>
      <w:r w:rsidR="00390FE9">
        <w:t>allocation of funding</w:t>
      </w:r>
      <w:r>
        <w:t xml:space="preserve"> for, Students with Disability</w:t>
      </w:r>
      <w:r w:rsidR="00755032">
        <w:t>, as demonstrated by Table 1 below.</w:t>
      </w:r>
    </w:p>
    <w:p w14:paraId="26EC0987" w14:textId="77777777" w:rsidR="00390FE9" w:rsidRDefault="00390FE9" w:rsidP="007D2896"/>
    <w:p w14:paraId="775C6D86" w14:textId="097F41B1" w:rsidR="007D2896" w:rsidRDefault="007D2896" w:rsidP="00AF6A99">
      <w:r>
        <w:t>Table 1</w:t>
      </w:r>
      <w:r w:rsidR="00390FE9">
        <w:t>:</w:t>
      </w:r>
      <w:r>
        <w:t xml:space="preserve"> </w:t>
      </w:r>
      <w:r w:rsidR="00390FE9">
        <w:t>B</w:t>
      </w:r>
      <w:r>
        <w:t xml:space="preserve">reakdown of </w:t>
      </w:r>
      <w:r w:rsidR="007000EE">
        <w:t>E</w:t>
      </w:r>
      <w:r>
        <w:t xml:space="preserve">quity </w:t>
      </w:r>
      <w:r w:rsidR="007000EE">
        <w:t>G</w:t>
      </w:r>
      <w:r>
        <w:t xml:space="preserve">roups included in the </w:t>
      </w:r>
      <w:r w:rsidR="007000EE">
        <w:t>P</w:t>
      </w:r>
      <w:r>
        <w:t>erformance-</w:t>
      </w:r>
      <w:r w:rsidR="007000EE">
        <w:t>B</w:t>
      </w:r>
      <w:r>
        <w:t xml:space="preserve">ased </w:t>
      </w:r>
      <w:r w:rsidR="007000EE">
        <w:t>F</w:t>
      </w:r>
      <w:r>
        <w:t xml:space="preserve">unding </w:t>
      </w:r>
      <w:r w:rsidR="007000EE">
        <w:t>T</w:t>
      </w:r>
      <w:r>
        <w:t xml:space="preserve">echnical </w:t>
      </w:r>
      <w:r w:rsidR="007000EE">
        <w:t>G</w:t>
      </w:r>
      <w:r>
        <w:t>uide, released February 2020, under equity group participation measures</w:t>
      </w:r>
      <w:r w:rsidR="00390FE9">
        <w:rPr>
          <w:rStyle w:val="EndnoteReference"/>
        </w:rPr>
        <w:endnoteReference w:id="9"/>
      </w:r>
      <w:r w:rsidR="00390FE9">
        <w:t>:</w:t>
      </w:r>
    </w:p>
    <w:tbl>
      <w:tblPr>
        <w:tblStyle w:val="TableGrid"/>
        <w:tblW w:w="5000" w:type="pct"/>
        <w:tblLook w:val="04A0" w:firstRow="1" w:lastRow="0" w:firstColumn="1" w:lastColumn="0" w:noHBand="0" w:noVBand="1"/>
      </w:tblPr>
      <w:tblGrid>
        <w:gridCol w:w="6640"/>
        <w:gridCol w:w="2542"/>
      </w:tblGrid>
      <w:tr w:rsidR="007D2896" w:rsidRPr="009E3EA4" w14:paraId="267F051E" w14:textId="77777777" w:rsidTr="00A61D3E">
        <w:trPr>
          <w:trHeight w:val="416"/>
        </w:trPr>
        <w:tc>
          <w:tcPr>
            <w:tcW w:w="3616" w:type="pct"/>
            <w:shd w:val="clear" w:color="auto" w:fill="1F4E79" w:themeFill="accent5" w:themeFillShade="80"/>
          </w:tcPr>
          <w:p w14:paraId="2FE29801" w14:textId="4CC775C0" w:rsidR="007D2896" w:rsidRPr="00F65CD5" w:rsidRDefault="007D2896" w:rsidP="00022DDD">
            <w:pPr>
              <w:rPr>
                <w:color w:val="FFFFFF" w:themeColor="background1"/>
              </w:rPr>
            </w:pPr>
            <w:r w:rsidRPr="00022DDD">
              <w:rPr>
                <w:color w:val="FFFFFF" w:themeColor="background1"/>
              </w:rPr>
              <w:t>Equity Groups</w:t>
            </w:r>
            <w:r w:rsidR="009F57C0">
              <w:rPr>
                <w:color w:val="FFFFFF" w:themeColor="background1"/>
              </w:rPr>
              <w:t xml:space="preserve"> included</w:t>
            </w:r>
            <w:r w:rsidRPr="00022DDD">
              <w:rPr>
                <w:color w:val="FFFFFF" w:themeColor="background1"/>
              </w:rPr>
              <w:t xml:space="preserve"> in </w:t>
            </w:r>
            <w:r w:rsidR="00E96B30" w:rsidRPr="00022DDD">
              <w:rPr>
                <w:color w:val="FFFFFF" w:themeColor="background1"/>
              </w:rPr>
              <w:t xml:space="preserve">Core </w:t>
            </w:r>
            <w:r w:rsidRPr="006D4A7D">
              <w:rPr>
                <w:color w:val="FFFFFF" w:themeColor="background1"/>
              </w:rPr>
              <w:t>Measures</w:t>
            </w:r>
            <w:r w:rsidR="00E96B30" w:rsidRPr="006D4A7D">
              <w:rPr>
                <w:color w:val="FFFFFF" w:themeColor="background1"/>
              </w:rPr>
              <w:t xml:space="preserve"> </w:t>
            </w:r>
            <w:r w:rsidR="00E96B30" w:rsidRPr="00F65CD5">
              <w:rPr>
                <w:color w:val="FFFFFF" w:themeColor="background1"/>
              </w:rPr>
              <w:t>(weighting)</w:t>
            </w:r>
          </w:p>
        </w:tc>
        <w:tc>
          <w:tcPr>
            <w:tcW w:w="1384" w:type="pct"/>
            <w:shd w:val="clear" w:color="auto" w:fill="1F4E79" w:themeFill="accent5" w:themeFillShade="80"/>
          </w:tcPr>
          <w:p w14:paraId="22EE2E9D" w14:textId="77777777" w:rsidR="007D2896" w:rsidRPr="009E3EA4" w:rsidRDefault="007D2896" w:rsidP="00390FE9">
            <w:pPr>
              <w:jc w:val="right"/>
              <w:rPr>
                <w:color w:val="FFFFFF" w:themeColor="background1"/>
              </w:rPr>
            </w:pPr>
            <w:r w:rsidRPr="009E3EA4">
              <w:rPr>
                <w:color w:val="FFFFFF" w:themeColor="background1"/>
              </w:rPr>
              <w:t>Itemised Yes or No</w:t>
            </w:r>
          </w:p>
        </w:tc>
      </w:tr>
      <w:tr w:rsidR="007D2896" w:rsidRPr="009E3EA4" w14:paraId="2D816DEC" w14:textId="77777777" w:rsidTr="00390FE9">
        <w:tc>
          <w:tcPr>
            <w:tcW w:w="3616" w:type="pct"/>
          </w:tcPr>
          <w:p w14:paraId="71F41FB2" w14:textId="77777777" w:rsidR="007D2896" w:rsidRPr="00022DDD" w:rsidRDefault="007D2896" w:rsidP="00390FE9">
            <w:pPr>
              <w:rPr>
                <w:b/>
              </w:rPr>
            </w:pPr>
            <w:r w:rsidRPr="00022DDD">
              <w:rPr>
                <w:b/>
              </w:rPr>
              <w:t>Students with Disability</w:t>
            </w:r>
          </w:p>
        </w:tc>
        <w:tc>
          <w:tcPr>
            <w:tcW w:w="1384" w:type="pct"/>
          </w:tcPr>
          <w:p w14:paraId="3D70DAAA" w14:textId="77777777" w:rsidR="007D2896" w:rsidRPr="006D4A7D" w:rsidRDefault="007D2896" w:rsidP="00390FE9">
            <w:pPr>
              <w:jc w:val="right"/>
              <w:rPr>
                <w:b/>
              </w:rPr>
            </w:pPr>
            <w:r w:rsidRPr="006D4A7D">
              <w:rPr>
                <w:b/>
              </w:rPr>
              <w:t>No</w:t>
            </w:r>
          </w:p>
        </w:tc>
      </w:tr>
      <w:tr w:rsidR="007D2896" w:rsidRPr="009E3EA4" w14:paraId="20FC5F84" w14:textId="77777777" w:rsidTr="00390FE9">
        <w:tc>
          <w:tcPr>
            <w:tcW w:w="3616" w:type="pct"/>
          </w:tcPr>
          <w:p w14:paraId="5962B91F" w14:textId="77777777" w:rsidR="007D2896" w:rsidRPr="00022DDD" w:rsidRDefault="007D2896" w:rsidP="00390FE9">
            <w:r w:rsidRPr="00022DDD">
              <w:t>Indigenous</w:t>
            </w:r>
          </w:p>
        </w:tc>
        <w:tc>
          <w:tcPr>
            <w:tcW w:w="1384" w:type="pct"/>
          </w:tcPr>
          <w:p w14:paraId="3B64B18E" w14:textId="77777777" w:rsidR="007D2896" w:rsidRPr="006D4A7D" w:rsidRDefault="007D2896" w:rsidP="00390FE9">
            <w:pPr>
              <w:jc w:val="right"/>
            </w:pPr>
            <w:r w:rsidRPr="006D4A7D">
              <w:t>Yes</w:t>
            </w:r>
          </w:p>
        </w:tc>
      </w:tr>
      <w:tr w:rsidR="007D2896" w:rsidRPr="009E3EA4" w14:paraId="40E53361" w14:textId="77777777" w:rsidTr="00390FE9">
        <w:tc>
          <w:tcPr>
            <w:tcW w:w="3616" w:type="pct"/>
          </w:tcPr>
          <w:p w14:paraId="0CE91702" w14:textId="77777777" w:rsidR="007D2896" w:rsidRPr="00022DDD" w:rsidRDefault="007D2896" w:rsidP="00390FE9">
            <w:r w:rsidRPr="00022DDD">
              <w:t>Low Socio-Economic Status (Low SES)</w:t>
            </w:r>
          </w:p>
        </w:tc>
        <w:tc>
          <w:tcPr>
            <w:tcW w:w="1384" w:type="pct"/>
          </w:tcPr>
          <w:p w14:paraId="65246936" w14:textId="77777777" w:rsidR="007D2896" w:rsidRPr="006D4A7D" w:rsidRDefault="007D2896" w:rsidP="00390FE9">
            <w:pPr>
              <w:jc w:val="right"/>
            </w:pPr>
            <w:r w:rsidRPr="006D4A7D">
              <w:t>Yes</w:t>
            </w:r>
          </w:p>
        </w:tc>
      </w:tr>
      <w:tr w:rsidR="007D2896" w:rsidRPr="009E3EA4" w14:paraId="0BB20228" w14:textId="77777777" w:rsidTr="00390FE9">
        <w:tc>
          <w:tcPr>
            <w:tcW w:w="3616" w:type="pct"/>
          </w:tcPr>
          <w:p w14:paraId="33F0E642" w14:textId="77777777" w:rsidR="007D2896" w:rsidRPr="00022DDD" w:rsidRDefault="007D2896" w:rsidP="00390FE9">
            <w:r w:rsidRPr="00022DDD">
              <w:t>Regional</w:t>
            </w:r>
          </w:p>
        </w:tc>
        <w:tc>
          <w:tcPr>
            <w:tcW w:w="1384" w:type="pct"/>
          </w:tcPr>
          <w:p w14:paraId="3BBE3989" w14:textId="77777777" w:rsidR="007D2896" w:rsidRPr="006D4A7D" w:rsidRDefault="007D2896" w:rsidP="00390FE9">
            <w:pPr>
              <w:jc w:val="right"/>
            </w:pPr>
            <w:r w:rsidRPr="006D4A7D">
              <w:t>Yes</w:t>
            </w:r>
          </w:p>
        </w:tc>
      </w:tr>
      <w:tr w:rsidR="007D2896" w:rsidRPr="009E3EA4" w14:paraId="2084054B" w14:textId="77777777" w:rsidTr="00390FE9">
        <w:tc>
          <w:tcPr>
            <w:tcW w:w="3616" w:type="pct"/>
          </w:tcPr>
          <w:p w14:paraId="470973A6" w14:textId="77777777" w:rsidR="007D2896" w:rsidRPr="00022DDD" w:rsidRDefault="007D2896" w:rsidP="00390FE9">
            <w:r w:rsidRPr="00022DDD">
              <w:t>Remote</w:t>
            </w:r>
          </w:p>
        </w:tc>
        <w:tc>
          <w:tcPr>
            <w:tcW w:w="1384" w:type="pct"/>
          </w:tcPr>
          <w:p w14:paraId="50A68D35" w14:textId="77777777" w:rsidR="007D2896" w:rsidRPr="006D4A7D" w:rsidRDefault="007D2896" w:rsidP="00390FE9">
            <w:pPr>
              <w:jc w:val="right"/>
            </w:pPr>
            <w:r w:rsidRPr="006D4A7D">
              <w:t>Yes</w:t>
            </w:r>
          </w:p>
        </w:tc>
      </w:tr>
      <w:tr w:rsidR="007D2896" w:rsidRPr="009E3EA4" w14:paraId="50811350" w14:textId="77777777" w:rsidTr="00390FE9">
        <w:tc>
          <w:tcPr>
            <w:tcW w:w="3616" w:type="pct"/>
          </w:tcPr>
          <w:p w14:paraId="03CBDC53" w14:textId="77777777" w:rsidR="007D2896" w:rsidRPr="00022DDD" w:rsidRDefault="007D2896" w:rsidP="00390FE9">
            <w:r w:rsidRPr="00022DDD">
              <w:t>Non-English Speaking Background (NESB)</w:t>
            </w:r>
          </w:p>
        </w:tc>
        <w:tc>
          <w:tcPr>
            <w:tcW w:w="1384" w:type="pct"/>
          </w:tcPr>
          <w:p w14:paraId="3ED019F8" w14:textId="77777777" w:rsidR="007D2896" w:rsidRPr="006D4A7D" w:rsidRDefault="007D2896" w:rsidP="00390FE9">
            <w:pPr>
              <w:jc w:val="right"/>
            </w:pPr>
            <w:r w:rsidRPr="006D4A7D">
              <w:t>No</w:t>
            </w:r>
          </w:p>
        </w:tc>
      </w:tr>
    </w:tbl>
    <w:p w14:paraId="02CEC433" w14:textId="77777777" w:rsidR="007D2896" w:rsidRPr="00A61D3E" w:rsidRDefault="007D2896" w:rsidP="007D2896">
      <w:pPr>
        <w:rPr>
          <w:sz w:val="28"/>
        </w:rPr>
      </w:pPr>
    </w:p>
    <w:p w14:paraId="221E6C95" w14:textId="6CF8CB37" w:rsidR="007D2896" w:rsidRDefault="007D2896" w:rsidP="007D2896">
      <w:r>
        <w:t xml:space="preserve">Whilst </w:t>
      </w:r>
      <w:r w:rsidR="00390FE9">
        <w:t>ATEND does not</w:t>
      </w:r>
      <w:r>
        <w:t xml:space="preserve"> advocate for Universities to </w:t>
      </w:r>
      <w:r w:rsidR="00A61D3E">
        <w:t xml:space="preserve">compel </w:t>
      </w:r>
      <w:r>
        <w:t>students to share information about their disability on enrolment to meet equity targets and obtain performance-based funding, we do believe Students with Disability are under</w:t>
      </w:r>
      <w:r w:rsidR="00390FE9">
        <w:t>-funded</w:t>
      </w:r>
      <w:r>
        <w:t xml:space="preserve"> for access, participation and success initiatives when compared with other equity groups. </w:t>
      </w:r>
    </w:p>
    <w:p w14:paraId="0672C92B" w14:textId="77777777" w:rsidR="00390FE9" w:rsidRDefault="00390FE9" w:rsidP="007D2896"/>
    <w:p w14:paraId="04385870" w14:textId="1F98FE3C" w:rsidR="007D2896" w:rsidRDefault="007D2896" w:rsidP="007D2896">
      <w:r>
        <w:t>To broaden this discussion, Table 2 showcases the growth rates of equity groups in Higher Education in Australia and raw enrolment numbers, to attempt to determine focus based on data:</w:t>
      </w:r>
    </w:p>
    <w:p w14:paraId="11F9A613" w14:textId="77777777" w:rsidR="00390FE9" w:rsidRPr="00C979FA" w:rsidRDefault="00390FE9" w:rsidP="007D2896"/>
    <w:p w14:paraId="61541239" w14:textId="70CCB41D" w:rsidR="00334196" w:rsidRPr="00C979FA" w:rsidRDefault="00334196" w:rsidP="00334196">
      <w:pPr>
        <w:pStyle w:val="Heading2"/>
      </w:pPr>
      <w:r>
        <w:t xml:space="preserve">Table </w:t>
      </w:r>
      <w:r w:rsidR="00390FE9">
        <w:t>2</w:t>
      </w:r>
      <w:r>
        <w:t xml:space="preserve">: </w:t>
      </w:r>
      <w:r w:rsidR="003C141D">
        <w:t xml:space="preserve"> </w:t>
      </w:r>
      <w:r>
        <w:t xml:space="preserve">Equity Group </w:t>
      </w:r>
      <w:r w:rsidR="00EB2B5F">
        <w:t xml:space="preserve">Growth and </w:t>
      </w:r>
      <w:r>
        <w:t xml:space="preserve">Participation </w:t>
      </w:r>
      <w:r w:rsidR="00EB2B5F">
        <w:t xml:space="preserve">Rates </w:t>
      </w:r>
      <w:r>
        <w:t>in Higher Education 2013</w:t>
      </w:r>
      <w:r w:rsidR="0038765E">
        <w:t xml:space="preserve"> </w:t>
      </w:r>
      <w:r>
        <w:t>-</w:t>
      </w:r>
      <w:r w:rsidR="0038765E">
        <w:t xml:space="preserve"> </w:t>
      </w:r>
      <w:r>
        <w:t>2018</w:t>
      </w:r>
    </w:p>
    <w:tbl>
      <w:tblPr>
        <w:tblStyle w:val="TableGrid"/>
        <w:tblpPr w:leftFromText="180" w:rightFromText="180" w:vertAnchor="text" w:horzAnchor="margin" w:tblpY="88"/>
        <w:tblW w:w="9493" w:type="dxa"/>
        <w:tblLook w:val="04A0" w:firstRow="1" w:lastRow="0" w:firstColumn="1" w:lastColumn="0" w:noHBand="0" w:noVBand="1"/>
      </w:tblPr>
      <w:tblGrid>
        <w:gridCol w:w="4248"/>
        <w:gridCol w:w="1559"/>
        <w:gridCol w:w="1843"/>
        <w:gridCol w:w="1843"/>
      </w:tblGrid>
      <w:tr w:rsidR="001C3123" w:rsidRPr="009E3EA4" w14:paraId="250A5485" w14:textId="77777777" w:rsidTr="00A61D3E">
        <w:trPr>
          <w:trHeight w:val="416"/>
        </w:trPr>
        <w:tc>
          <w:tcPr>
            <w:tcW w:w="4248" w:type="dxa"/>
            <w:shd w:val="clear" w:color="auto" w:fill="1F4E79" w:themeFill="accent5" w:themeFillShade="80"/>
          </w:tcPr>
          <w:p w14:paraId="714C1090" w14:textId="3B9907A9" w:rsidR="00334196" w:rsidRPr="00022DDD" w:rsidRDefault="00334196" w:rsidP="006202FE">
            <w:pPr>
              <w:rPr>
                <w:color w:val="FFFFFF" w:themeColor="background1"/>
              </w:rPr>
            </w:pPr>
            <w:r w:rsidRPr="00022DDD">
              <w:rPr>
                <w:color w:val="FFFFFF" w:themeColor="background1"/>
              </w:rPr>
              <w:t>Equity Group</w:t>
            </w:r>
          </w:p>
        </w:tc>
        <w:tc>
          <w:tcPr>
            <w:tcW w:w="1559" w:type="dxa"/>
            <w:shd w:val="clear" w:color="auto" w:fill="1F4E79" w:themeFill="accent5" w:themeFillShade="80"/>
          </w:tcPr>
          <w:p w14:paraId="0BC71F92" w14:textId="77777777" w:rsidR="001C3123" w:rsidRPr="00022DDD" w:rsidRDefault="00334196" w:rsidP="00A61D3E">
            <w:pPr>
              <w:jc w:val="center"/>
              <w:rPr>
                <w:color w:val="FFFFFF" w:themeColor="background1"/>
              </w:rPr>
            </w:pPr>
            <w:r w:rsidRPr="00022DDD">
              <w:rPr>
                <w:color w:val="FFFFFF" w:themeColor="background1"/>
              </w:rPr>
              <w:t xml:space="preserve">Growth </w:t>
            </w:r>
          </w:p>
          <w:p w14:paraId="0E2447D2" w14:textId="791A3D85" w:rsidR="00334196" w:rsidRPr="009E3EA4" w:rsidRDefault="001C3123" w:rsidP="00A61D3E">
            <w:pPr>
              <w:jc w:val="center"/>
              <w:rPr>
                <w:color w:val="FFFFFF" w:themeColor="background1"/>
              </w:rPr>
            </w:pPr>
            <w:r w:rsidRPr="006D4A7D">
              <w:rPr>
                <w:color w:val="FFFFFF" w:themeColor="background1"/>
              </w:rPr>
              <w:t xml:space="preserve">(percentage) </w:t>
            </w:r>
            <w:r w:rsidR="00334196" w:rsidRPr="00F65CD5">
              <w:rPr>
                <w:color w:val="FFFFFF" w:themeColor="background1"/>
              </w:rPr>
              <w:t>2013</w:t>
            </w:r>
            <w:r w:rsidR="00EB2B5F" w:rsidRPr="00F65CD5">
              <w:rPr>
                <w:color w:val="FFFFFF" w:themeColor="background1"/>
              </w:rPr>
              <w:t xml:space="preserve"> </w:t>
            </w:r>
            <w:r w:rsidR="00334196" w:rsidRPr="00C05A24">
              <w:rPr>
                <w:color w:val="FFFFFF" w:themeColor="background1"/>
              </w:rPr>
              <w:t>-</w:t>
            </w:r>
            <w:r w:rsidR="00EB2B5F" w:rsidRPr="00C05A24">
              <w:rPr>
                <w:color w:val="FFFFFF" w:themeColor="background1"/>
              </w:rPr>
              <w:t xml:space="preserve"> </w:t>
            </w:r>
            <w:r w:rsidR="00334196" w:rsidRPr="00C05A24">
              <w:rPr>
                <w:color w:val="FFFFFF" w:themeColor="background1"/>
              </w:rPr>
              <w:t>2018</w:t>
            </w:r>
          </w:p>
        </w:tc>
        <w:tc>
          <w:tcPr>
            <w:tcW w:w="1843" w:type="dxa"/>
            <w:shd w:val="clear" w:color="auto" w:fill="1F4E79" w:themeFill="accent5" w:themeFillShade="80"/>
          </w:tcPr>
          <w:p w14:paraId="699B0DA0" w14:textId="77777777" w:rsidR="001C3123" w:rsidRPr="009E3EA4" w:rsidRDefault="00334196" w:rsidP="00A61D3E">
            <w:pPr>
              <w:jc w:val="center"/>
              <w:rPr>
                <w:color w:val="FFFFFF" w:themeColor="background1"/>
              </w:rPr>
            </w:pPr>
            <w:r w:rsidRPr="009E3EA4">
              <w:rPr>
                <w:color w:val="FFFFFF" w:themeColor="background1"/>
              </w:rPr>
              <w:t xml:space="preserve">Participation Rate (number) </w:t>
            </w:r>
          </w:p>
          <w:p w14:paraId="20E3FF29" w14:textId="45264E6A" w:rsidR="00334196" w:rsidRPr="009E3EA4" w:rsidRDefault="00334196" w:rsidP="00A61D3E">
            <w:pPr>
              <w:jc w:val="center"/>
              <w:rPr>
                <w:color w:val="FFFFFF" w:themeColor="background1"/>
              </w:rPr>
            </w:pPr>
            <w:r w:rsidRPr="009E3EA4">
              <w:rPr>
                <w:color w:val="FFFFFF" w:themeColor="background1"/>
              </w:rPr>
              <w:t>2018</w:t>
            </w:r>
          </w:p>
        </w:tc>
        <w:tc>
          <w:tcPr>
            <w:tcW w:w="1843" w:type="dxa"/>
            <w:shd w:val="clear" w:color="auto" w:fill="1F4E79" w:themeFill="accent5" w:themeFillShade="80"/>
          </w:tcPr>
          <w:p w14:paraId="65C08063" w14:textId="7EB700BD" w:rsidR="00334196" w:rsidRPr="009E3EA4" w:rsidRDefault="00334196" w:rsidP="00A61D3E">
            <w:pPr>
              <w:jc w:val="center"/>
              <w:rPr>
                <w:color w:val="FFFFFF" w:themeColor="background1"/>
              </w:rPr>
            </w:pPr>
            <w:r w:rsidRPr="009E3EA4">
              <w:rPr>
                <w:color w:val="FFFFFF" w:themeColor="background1"/>
              </w:rPr>
              <w:t xml:space="preserve">Participation </w:t>
            </w:r>
            <w:r w:rsidR="001C3123" w:rsidRPr="009E3EA4">
              <w:rPr>
                <w:color w:val="FFFFFF" w:themeColor="background1"/>
              </w:rPr>
              <w:t>R</w:t>
            </w:r>
            <w:r w:rsidRPr="009E3EA4">
              <w:rPr>
                <w:color w:val="FFFFFF" w:themeColor="background1"/>
              </w:rPr>
              <w:t>ate (percentage) 2018</w:t>
            </w:r>
          </w:p>
        </w:tc>
      </w:tr>
      <w:tr w:rsidR="009E3EA4" w:rsidRPr="009E3EA4" w14:paraId="02A58EE0" w14:textId="77777777" w:rsidTr="007000EE">
        <w:tc>
          <w:tcPr>
            <w:tcW w:w="4248" w:type="dxa"/>
          </w:tcPr>
          <w:p w14:paraId="18594424" w14:textId="77777777" w:rsidR="00334196" w:rsidRPr="00022DDD" w:rsidRDefault="00334196" w:rsidP="006202FE">
            <w:pPr>
              <w:rPr>
                <w:b/>
              </w:rPr>
            </w:pPr>
            <w:r w:rsidRPr="00022DDD">
              <w:rPr>
                <w:b/>
              </w:rPr>
              <w:t>Students with Disability</w:t>
            </w:r>
          </w:p>
        </w:tc>
        <w:tc>
          <w:tcPr>
            <w:tcW w:w="1559" w:type="dxa"/>
          </w:tcPr>
          <w:p w14:paraId="3397DA0B" w14:textId="77777777" w:rsidR="00334196" w:rsidRPr="006D4A7D" w:rsidRDefault="00334196" w:rsidP="006202FE">
            <w:pPr>
              <w:jc w:val="right"/>
              <w:rPr>
                <w:b/>
              </w:rPr>
            </w:pPr>
            <w:r w:rsidRPr="006D4A7D">
              <w:rPr>
                <w:b/>
              </w:rPr>
              <w:t>50.0%</w:t>
            </w:r>
          </w:p>
        </w:tc>
        <w:tc>
          <w:tcPr>
            <w:tcW w:w="1843" w:type="dxa"/>
          </w:tcPr>
          <w:p w14:paraId="63949DFA" w14:textId="77777777" w:rsidR="00334196" w:rsidRPr="00F65CD5" w:rsidRDefault="00334196" w:rsidP="006202FE">
            <w:pPr>
              <w:jc w:val="right"/>
              <w:rPr>
                <w:b/>
              </w:rPr>
            </w:pPr>
            <w:r w:rsidRPr="00F65CD5">
              <w:rPr>
                <w:b/>
              </w:rPr>
              <w:t>70,143</w:t>
            </w:r>
          </w:p>
        </w:tc>
        <w:tc>
          <w:tcPr>
            <w:tcW w:w="1843" w:type="dxa"/>
          </w:tcPr>
          <w:p w14:paraId="577D72AF" w14:textId="77777777" w:rsidR="00334196" w:rsidRPr="009E3EA4" w:rsidRDefault="00334196" w:rsidP="006202FE">
            <w:pPr>
              <w:jc w:val="right"/>
              <w:rPr>
                <w:b/>
              </w:rPr>
            </w:pPr>
            <w:r w:rsidRPr="009E3EA4">
              <w:rPr>
                <w:b/>
              </w:rPr>
              <w:t>6.92%</w:t>
            </w:r>
          </w:p>
        </w:tc>
      </w:tr>
      <w:tr w:rsidR="009E3EA4" w:rsidRPr="009E3EA4" w14:paraId="243AC9C6" w14:textId="77777777" w:rsidTr="007000EE">
        <w:tc>
          <w:tcPr>
            <w:tcW w:w="4248" w:type="dxa"/>
          </w:tcPr>
          <w:p w14:paraId="2466DF0C" w14:textId="77777777" w:rsidR="00334196" w:rsidRPr="009E3EA4" w:rsidRDefault="00334196" w:rsidP="006202FE">
            <w:r w:rsidRPr="009E3EA4">
              <w:t>Indigenous</w:t>
            </w:r>
          </w:p>
        </w:tc>
        <w:tc>
          <w:tcPr>
            <w:tcW w:w="1559" w:type="dxa"/>
          </w:tcPr>
          <w:p w14:paraId="1987A7A1" w14:textId="77777777" w:rsidR="00334196" w:rsidRPr="009E3EA4" w:rsidRDefault="00334196" w:rsidP="006202FE">
            <w:pPr>
              <w:jc w:val="right"/>
            </w:pPr>
            <w:r w:rsidRPr="009E3EA4">
              <w:t>42.9%</w:t>
            </w:r>
          </w:p>
        </w:tc>
        <w:tc>
          <w:tcPr>
            <w:tcW w:w="1843" w:type="dxa"/>
          </w:tcPr>
          <w:p w14:paraId="043694EC" w14:textId="77777777" w:rsidR="00334196" w:rsidRPr="009E3EA4" w:rsidRDefault="00334196" w:rsidP="006202FE">
            <w:pPr>
              <w:jc w:val="right"/>
            </w:pPr>
            <w:r w:rsidRPr="009E3EA4">
              <w:t>19,167</w:t>
            </w:r>
          </w:p>
        </w:tc>
        <w:tc>
          <w:tcPr>
            <w:tcW w:w="1843" w:type="dxa"/>
          </w:tcPr>
          <w:p w14:paraId="3CFBD583" w14:textId="77777777" w:rsidR="00334196" w:rsidRPr="009E3EA4" w:rsidRDefault="00334196" w:rsidP="006202FE">
            <w:pPr>
              <w:jc w:val="right"/>
            </w:pPr>
            <w:r w:rsidRPr="009E3EA4">
              <w:t>1.89%</w:t>
            </w:r>
          </w:p>
        </w:tc>
      </w:tr>
      <w:tr w:rsidR="009E3EA4" w:rsidRPr="009E3EA4" w14:paraId="7707BB22" w14:textId="77777777" w:rsidTr="007000EE">
        <w:tc>
          <w:tcPr>
            <w:tcW w:w="4248" w:type="dxa"/>
          </w:tcPr>
          <w:p w14:paraId="7E5B79D5" w14:textId="77777777" w:rsidR="00334196" w:rsidRPr="009E3EA4" w:rsidRDefault="00334196" w:rsidP="006202FE">
            <w:r w:rsidRPr="009E3EA4">
              <w:t>Low Socio-Economic Status (Low SES)</w:t>
            </w:r>
          </w:p>
        </w:tc>
        <w:tc>
          <w:tcPr>
            <w:tcW w:w="1559" w:type="dxa"/>
          </w:tcPr>
          <w:p w14:paraId="165DD678" w14:textId="77777777" w:rsidR="00334196" w:rsidRPr="009E3EA4" w:rsidRDefault="00334196" w:rsidP="006202FE">
            <w:pPr>
              <w:jc w:val="right"/>
            </w:pPr>
            <w:r w:rsidRPr="009E3EA4">
              <w:t>21.1%</w:t>
            </w:r>
          </w:p>
        </w:tc>
        <w:tc>
          <w:tcPr>
            <w:tcW w:w="1843" w:type="dxa"/>
          </w:tcPr>
          <w:p w14:paraId="28F97743" w14:textId="77777777" w:rsidR="00334196" w:rsidRPr="009E3EA4" w:rsidRDefault="00334196" w:rsidP="006202FE">
            <w:pPr>
              <w:jc w:val="right"/>
            </w:pPr>
            <w:r w:rsidRPr="009E3EA4">
              <w:t>162,871</w:t>
            </w:r>
          </w:p>
        </w:tc>
        <w:tc>
          <w:tcPr>
            <w:tcW w:w="1843" w:type="dxa"/>
          </w:tcPr>
          <w:p w14:paraId="05610BA0" w14:textId="77777777" w:rsidR="00334196" w:rsidRPr="009E3EA4" w:rsidRDefault="00334196" w:rsidP="006202FE">
            <w:pPr>
              <w:jc w:val="right"/>
            </w:pPr>
            <w:r w:rsidRPr="009E3EA4">
              <w:t>17.66%</w:t>
            </w:r>
          </w:p>
        </w:tc>
      </w:tr>
      <w:tr w:rsidR="009E3EA4" w:rsidRPr="009E3EA4" w14:paraId="68A8F550" w14:textId="77777777" w:rsidTr="007000EE">
        <w:tc>
          <w:tcPr>
            <w:tcW w:w="4248" w:type="dxa"/>
          </w:tcPr>
          <w:p w14:paraId="7EA30886" w14:textId="77777777" w:rsidR="00334196" w:rsidRPr="009E3EA4" w:rsidRDefault="00334196" w:rsidP="006202FE">
            <w:r w:rsidRPr="009E3EA4">
              <w:t>National (All Students)</w:t>
            </w:r>
          </w:p>
        </w:tc>
        <w:tc>
          <w:tcPr>
            <w:tcW w:w="1559" w:type="dxa"/>
          </w:tcPr>
          <w:p w14:paraId="4F8B0293" w14:textId="77777777" w:rsidR="00334196" w:rsidRPr="009E3EA4" w:rsidRDefault="00334196" w:rsidP="006202FE">
            <w:pPr>
              <w:jc w:val="right"/>
            </w:pPr>
            <w:r w:rsidRPr="009E3EA4">
              <w:t>12.6%</w:t>
            </w:r>
          </w:p>
        </w:tc>
        <w:tc>
          <w:tcPr>
            <w:tcW w:w="1843" w:type="dxa"/>
          </w:tcPr>
          <w:p w14:paraId="22EEB206" w14:textId="77777777" w:rsidR="00334196" w:rsidRPr="009E3EA4" w:rsidRDefault="00334196" w:rsidP="006202FE">
            <w:pPr>
              <w:jc w:val="right"/>
            </w:pPr>
            <w:r w:rsidRPr="009E3EA4">
              <w:t>1,014,022</w:t>
            </w:r>
          </w:p>
        </w:tc>
        <w:tc>
          <w:tcPr>
            <w:tcW w:w="1843" w:type="dxa"/>
          </w:tcPr>
          <w:p w14:paraId="3A3043E2" w14:textId="77777777" w:rsidR="00334196" w:rsidRPr="009E3EA4" w:rsidRDefault="00334196" w:rsidP="006202FE">
            <w:pPr>
              <w:jc w:val="right"/>
            </w:pPr>
            <w:r w:rsidRPr="009E3EA4">
              <w:t>-</w:t>
            </w:r>
          </w:p>
        </w:tc>
      </w:tr>
      <w:tr w:rsidR="009E3EA4" w:rsidRPr="009E3EA4" w14:paraId="0908641E" w14:textId="77777777" w:rsidTr="007000EE">
        <w:tc>
          <w:tcPr>
            <w:tcW w:w="4248" w:type="dxa"/>
          </w:tcPr>
          <w:p w14:paraId="34D7F174" w14:textId="77777777" w:rsidR="00334196" w:rsidRPr="009E3EA4" w:rsidRDefault="00334196" w:rsidP="006202FE">
            <w:r w:rsidRPr="009E3EA4">
              <w:t>Non-English Speaking Background (NESB)</w:t>
            </w:r>
          </w:p>
        </w:tc>
        <w:tc>
          <w:tcPr>
            <w:tcW w:w="1559" w:type="dxa"/>
          </w:tcPr>
          <w:p w14:paraId="5B56BE7D" w14:textId="77777777" w:rsidR="00334196" w:rsidRPr="009E3EA4" w:rsidRDefault="00334196" w:rsidP="006202FE">
            <w:pPr>
              <w:jc w:val="right"/>
            </w:pPr>
            <w:r w:rsidRPr="009E3EA4">
              <w:t>12.5%</w:t>
            </w:r>
          </w:p>
        </w:tc>
        <w:tc>
          <w:tcPr>
            <w:tcW w:w="1843" w:type="dxa"/>
          </w:tcPr>
          <w:p w14:paraId="29D6A8F6" w14:textId="77777777" w:rsidR="00334196" w:rsidRPr="009E3EA4" w:rsidRDefault="00334196" w:rsidP="006202FE">
            <w:pPr>
              <w:jc w:val="right"/>
            </w:pPr>
            <w:r w:rsidRPr="009E3EA4">
              <w:t>36,730</w:t>
            </w:r>
          </w:p>
        </w:tc>
        <w:tc>
          <w:tcPr>
            <w:tcW w:w="1843" w:type="dxa"/>
          </w:tcPr>
          <w:p w14:paraId="2B1CC042" w14:textId="77777777" w:rsidR="00334196" w:rsidRPr="009E3EA4" w:rsidRDefault="00334196" w:rsidP="006202FE">
            <w:pPr>
              <w:jc w:val="right"/>
            </w:pPr>
            <w:r w:rsidRPr="009E3EA4">
              <w:t>3.62%</w:t>
            </w:r>
          </w:p>
        </w:tc>
      </w:tr>
      <w:tr w:rsidR="009E3EA4" w:rsidRPr="009E3EA4" w14:paraId="0AA84696" w14:textId="77777777" w:rsidTr="007000EE">
        <w:tc>
          <w:tcPr>
            <w:tcW w:w="4248" w:type="dxa"/>
          </w:tcPr>
          <w:p w14:paraId="21F598F5" w14:textId="77777777" w:rsidR="00334196" w:rsidRPr="009E3EA4" w:rsidRDefault="00334196" w:rsidP="006202FE">
            <w:r w:rsidRPr="009E3EA4">
              <w:t>Regional</w:t>
            </w:r>
          </w:p>
        </w:tc>
        <w:tc>
          <w:tcPr>
            <w:tcW w:w="1559" w:type="dxa"/>
          </w:tcPr>
          <w:p w14:paraId="65F9C279" w14:textId="77777777" w:rsidR="00334196" w:rsidRPr="009E3EA4" w:rsidRDefault="00334196" w:rsidP="006202FE">
            <w:pPr>
              <w:jc w:val="right"/>
            </w:pPr>
            <w:r w:rsidRPr="009E3EA4">
              <w:t>7.9%</w:t>
            </w:r>
          </w:p>
        </w:tc>
        <w:tc>
          <w:tcPr>
            <w:tcW w:w="1843" w:type="dxa"/>
          </w:tcPr>
          <w:p w14:paraId="39A68322" w14:textId="77777777" w:rsidR="00334196" w:rsidRPr="009E3EA4" w:rsidRDefault="00334196" w:rsidP="006202FE">
            <w:pPr>
              <w:jc w:val="right"/>
            </w:pPr>
            <w:r w:rsidRPr="009E3EA4">
              <w:t>194,669</w:t>
            </w:r>
          </w:p>
        </w:tc>
        <w:tc>
          <w:tcPr>
            <w:tcW w:w="1843" w:type="dxa"/>
          </w:tcPr>
          <w:p w14:paraId="44018DC3" w14:textId="77777777" w:rsidR="00334196" w:rsidRPr="009E3EA4" w:rsidRDefault="00334196" w:rsidP="006202FE">
            <w:pPr>
              <w:jc w:val="right"/>
            </w:pPr>
            <w:r w:rsidRPr="009E3EA4">
              <w:t>20.07%</w:t>
            </w:r>
          </w:p>
        </w:tc>
      </w:tr>
      <w:tr w:rsidR="009E3EA4" w:rsidRPr="009E3EA4" w14:paraId="241E7158" w14:textId="77777777" w:rsidTr="007000EE">
        <w:tc>
          <w:tcPr>
            <w:tcW w:w="4248" w:type="dxa"/>
          </w:tcPr>
          <w:p w14:paraId="74A8ACAD" w14:textId="77777777" w:rsidR="00334196" w:rsidRPr="009E3EA4" w:rsidRDefault="00334196" w:rsidP="006202FE">
            <w:r w:rsidRPr="009E3EA4">
              <w:t>Remote</w:t>
            </w:r>
          </w:p>
        </w:tc>
        <w:tc>
          <w:tcPr>
            <w:tcW w:w="1559" w:type="dxa"/>
          </w:tcPr>
          <w:p w14:paraId="05F54DEE" w14:textId="77777777" w:rsidR="00334196" w:rsidRPr="009E3EA4" w:rsidRDefault="00334196" w:rsidP="006202FE">
            <w:pPr>
              <w:jc w:val="right"/>
            </w:pPr>
            <w:r w:rsidRPr="009E3EA4">
              <w:t>6.9%</w:t>
            </w:r>
          </w:p>
        </w:tc>
        <w:tc>
          <w:tcPr>
            <w:tcW w:w="1843" w:type="dxa"/>
          </w:tcPr>
          <w:p w14:paraId="2EBB5849" w14:textId="77777777" w:rsidR="00334196" w:rsidRPr="009E3EA4" w:rsidRDefault="00334196" w:rsidP="006202FE">
            <w:pPr>
              <w:jc w:val="right"/>
            </w:pPr>
            <w:r w:rsidRPr="009E3EA4">
              <w:t>8,858</w:t>
            </w:r>
          </w:p>
        </w:tc>
        <w:tc>
          <w:tcPr>
            <w:tcW w:w="1843" w:type="dxa"/>
          </w:tcPr>
          <w:p w14:paraId="6436C488" w14:textId="77777777" w:rsidR="00334196" w:rsidRPr="009E3EA4" w:rsidRDefault="00334196" w:rsidP="006202FE">
            <w:pPr>
              <w:jc w:val="right"/>
            </w:pPr>
            <w:r w:rsidRPr="009E3EA4">
              <w:t>0.87%</w:t>
            </w:r>
          </w:p>
        </w:tc>
      </w:tr>
    </w:tbl>
    <w:p w14:paraId="6EE590D7" w14:textId="037510F7" w:rsidR="00334196" w:rsidRDefault="00334196">
      <w:pPr>
        <w:rPr>
          <w:i/>
          <w:iCs/>
          <w:color w:val="002060"/>
          <w:sz w:val="20"/>
          <w:szCs w:val="20"/>
        </w:rPr>
      </w:pPr>
      <w:r w:rsidRPr="00334196">
        <w:rPr>
          <w:i/>
          <w:iCs/>
          <w:color w:val="002060"/>
          <w:sz w:val="20"/>
          <w:szCs w:val="20"/>
        </w:rPr>
        <w:t>Source: The Australian Government (2019) as cited in Koshy, P. (2019), The Australian Government – Power BI Tool, Accessed June 2020.</w:t>
      </w:r>
    </w:p>
    <w:p w14:paraId="3D1880EA" w14:textId="701658C9" w:rsidR="00334196" w:rsidRDefault="00334196">
      <w:pPr>
        <w:rPr>
          <w:i/>
          <w:iCs/>
          <w:color w:val="002060"/>
          <w:sz w:val="20"/>
          <w:szCs w:val="20"/>
        </w:rPr>
      </w:pPr>
    </w:p>
    <w:p w14:paraId="7B7EAAAD" w14:textId="10519B52" w:rsidR="007F4BAF" w:rsidRDefault="008B6DE8">
      <w:r>
        <w:t xml:space="preserve">Despite the rapid growth in participation of Students with Disability in Higher Education, the downstream effect of widening participation policies that are not specifically designed to meet the needs of Students with Disability is reflected in graduate </w:t>
      </w:r>
      <w:r w:rsidRPr="008D2C8F">
        <w:t xml:space="preserve">employment </w:t>
      </w:r>
      <w:r w:rsidR="00BE545B">
        <w:t>outcomes, d</w:t>
      </w:r>
      <w:r>
        <w:t>ata indicates that Students with Disability perform less well than almost all other measured equity groups.</w:t>
      </w:r>
      <w:r w:rsidR="007F4BAF">
        <w:t xml:space="preserve"> </w:t>
      </w:r>
    </w:p>
    <w:p w14:paraId="0BBE80DB" w14:textId="3D2B84E0" w:rsidR="007F4BAF" w:rsidRDefault="007F4BAF"/>
    <w:p w14:paraId="45A2AA32" w14:textId="7E6950A9" w:rsidR="00334196" w:rsidRDefault="00334196" w:rsidP="009C5C28">
      <w:pPr>
        <w:pStyle w:val="Heading2"/>
      </w:pPr>
      <w:r>
        <w:lastRenderedPageBreak/>
        <w:t xml:space="preserve">Table </w:t>
      </w:r>
      <w:r w:rsidR="00390FE9">
        <w:t>3</w:t>
      </w:r>
      <w:r w:rsidR="003C141D">
        <w:t>:</w:t>
      </w:r>
      <w:r>
        <w:t xml:space="preserve"> </w:t>
      </w:r>
      <w:r w:rsidR="003C141D">
        <w:t xml:space="preserve"> </w:t>
      </w:r>
      <w:r>
        <w:t xml:space="preserve">Equity </w:t>
      </w:r>
      <w:r w:rsidR="003C141D">
        <w:t>G</w:t>
      </w:r>
      <w:r>
        <w:t xml:space="preserve">roups </w:t>
      </w:r>
      <w:r w:rsidR="003C141D">
        <w:t>and</w:t>
      </w:r>
      <w:r>
        <w:t xml:space="preserve"> </w:t>
      </w:r>
      <w:r w:rsidR="003C141D">
        <w:t>F</w:t>
      </w:r>
      <w:r>
        <w:t>ull</w:t>
      </w:r>
      <w:r w:rsidR="009C5C28">
        <w:t>-</w:t>
      </w:r>
      <w:r>
        <w:t xml:space="preserve">time </w:t>
      </w:r>
      <w:r w:rsidR="003C141D">
        <w:t>E</w:t>
      </w:r>
      <w:r>
        <w:t xml:space="preserve">mployment </w:t>
      </w:r>
      <w:r w:rsidR="003C141D">
        <w:t>R</w:t>
      </w:r>
      <w:r>
        <w:t xml:space="preserve">ates, 2019  </w:t>
      </w:r>
    </w:p>
    <w:tbl>
      <w:tblPr>
        <w:tblStyle w:val="TableGrid"/>
        <w:tblW w:w="0" w:type="auto"/>
        <w:tblLook w:val="04A0" w:firstRow="1" w:lastRow="0" w:firstColumn="1" w:lastColumn="0" w:noHBand="0" w:noVBand="1"/>
      </w:tblPr>
      <w:tblGrid>
        <w:gridCol w:w="4505"/>
        <w:gridCol w:w="4505"/>
      </w:tblGrid>
      <w:tr w:rsidR="009C5C28" w:rsidRPr="007000EE" w14:paraId="73205EC2" w14:textId="77777777" w:rsidTr="009C5C28">
        <w:tc>
          <w:tcPr>
            <w:tcW w:w="4505" w:type="dxa"/>
            <w:shd w:val="clear" w:color="auto" w:fill="1F4E79" w:themeFill="accent5" w:themeFillShade="80"/>
          </w:tcPr>
          <w:p w14:paraId="3D0B7599" w14:textId="1E763D74" w:rsidR="009C5C28" w:rsidRPr="00341556" w:rsidRDefault="009C5C28" w:rsidP="009C5C28">
            <w:pPr>
              <w:rPr>
                <w:rFonts w:cstheme="minorHAnsi"/>
                <w:color w:val="FFFFFF" w:themeColor="background1"/>
              </w:rPr>
            </w:pPr>
            <w:r w:rsidRPr="00BA226C">
              <w:rPr>
                <w:rFonts w:cstheme="minorHAnsi"/>
                <w:color w:val="FFFFFF" w:themeColor="background1"/>
              </w:rPr>
              <w:t>Equity Group</w:t>
            </w:r>
          </w:p>
        </w:tc>
        <w:tc>
          <w:tcPr>
            <w:tcW w:w="4505" w:type="dxa"/>
            <w:shd w:val="clear" w:color="auto" w:fill="1F4E79" w:themeFill="accent5" w:themeFillShade="80"/>
          </w:tcPr>
          <w:p w14:paraId="7BAB3BC1" w14:textId="39205F83" w:rsidR="009C5C28" w:rsidRPr="00341556" w:rsidRDefault="009C5C28" w:rsidP="00341556">
            <w:pPr>
              <w:jc w:val="right"/>
              <w:rPr>
                <w:rFonts w:cstheme="minorHAnsi"/>
                <w:color w:val="FFFFFF" w:themeColor="background1"/>
              </w:rPr>
            </w:pPr>
            <w:r w:rsidRPr="00BA226C">
              <w:rPr>
                <w:rFonts w:cstheme="minorHAnsi"/>
                <w:color w:val="FFFFFF" w:themeColor="background1"/>
              </w:rPr>
              <w:t>Full-time Employment 2019</w:t>
            </w:r>
          </w:p>
        </w:tc>
      </w:tr>
      <w:tr w:rsidR="009C5C28" w:rsidRPr="007000EE" w14:paraId="72E8FF45" w14:textId="77777777" w:rsidTr="006202FE">
        <w:tc>
          <w:tcPr>
            <w:tcW w:w="4505" w:type="dxa"/>
            <w:vAlign w:val="bottom"/>
          </w:tcPr>
          <w:p w14:paraId="3BE03E39" w14:textId="017FB80A" w:rsidR="009C5C28" w:rsidRPr="00022DDD" w:rsidRDefault="009C5C28" w:rsidP="009C5C28">
            <w:pPr>
              <w:rPr>
                <w:rFonts w:cstheme="minorHAnsi"/>
              </w:rPr>
            </w:pPr>
            <w:r w:rsidRPr="00341556">
              <w:rPr>
                <w:rFonts w:eastAsia="Times New Roman" w:cstheme="minorHAnsi"/>
                <w:color w:val="000000"/>
              </w:rPr>
              <w:t>Indigenous</w:t>
            </w:r>
          </w:p>
        </w:tc>
        <w:tc>
          <w:tcPr>
            <w:tcW w:w="4505" w:type="dxa"/>
            <w:vAlign w:val="bottom"/>
          </w:tcPr>
          <w:p w14:paraId="24BFF364" w14:textId="6EF0316C" w:rsidR="009C5C28" w:rsidRPr="00022DDD" w:rsidRDefault="009C5C28" w:rsidP="009C5C28">
            <w:pPr>
              <w:jc w:val="right"/>
              <w:rPr>
                <w:rFonts w:cstheme="minorHAnsi"/>
              </w:rPr>
            </w:pPr>
            <w:r w:rsidRPr="00341556">
              <w:rPr>
                <w:rFonts w:eastAsia="Times New Roman" w:cstheme="minorHAnsi"/>
                <w:color w:val="000000"/>
              </w:rPr>
              <w:t>78.2%</w:t>
            </w:r>
          </w:p>
        </w:tc>
      </w:tr>
      <w:tr w:rsidR="009C5C28" w:rsidRPr="007000EE" w14:paraId="1E07447C" w14:textId="77777777" w:rsidTr="006202FE">
        <w:tc>
          <w:tcPr>
            <w:tcW w:w="4505" w:type="dxa"/>
            <w:vAlign w:val="bottom"/>
          </w:tcPr>
          <w:p w14:paraId="6F95DFE4" w14:textId="294870C9" w:rsidR="009C5C28" w:rsidRPr="00022DDD" w:rsidRDefault="009C5C28" w:rsidP="009C5C28">
            <w:pPr>
              <w:rPr>
                <w:rFonts w:cstheme="minorHAnsi"/>
              </w:rPr>
            </w:pPr>
            <w:r w:rsidRPr="00341556">
              <w:rPr>
                <w:rFonts w:eastAsia="Times New Roman" w:cstheme="minorHAnsi"/>
                <w:color w:val="000000"/>
              </w:rPr>
              <w:t>Regional/</w:t>
            </w:r>
            <w:r w:rsidR="003C141D" w:rsidRPr="00341556">
              <w:rPr>
                <w:rFonts w:eastAsia="Times New Roman" w:cstheme="minorHAnsi"/>
                <w:color w:val="000000"/>
              </w:rPr>
              <w:t>R</w:t>
            </w:r>
            <w:r w:rsidRPr="00341556">
              <w:rPr>
                <w:rFonts w:eastAsia="Times New Roman" w:cstheme="minorHAnsi"/>
                <w:color w:val="000000"/>
              </w:rPr>
              <w:t>emote</w:t>
            </w:r>
          </w:p>
        </w:tc>
        <w:tc>
          <w:tcPr>
            <w:tcW w:w="4505" w:type="dxa"/>
            <w:vAlign w:val="bottom"/>
          </w:tcPr>
          <w:p w14:paraId="63BB2856" w14:textId="0FA4F3C0" w:rsidR="009C5C28" w:rsidRPr="00022DDD" w:rsidRDefault="009C5C28" w:rsidP="009C5C28">
            <w:pPr>
              <w:jc w:val="right"/>
              <w:rPr>
                <w:rFonts w:cstheme="minorHAnsi"/>
              </w:rPr>
            </w:pPr>
            <w:r w:rsidRPr="00341556">
              <w:rPr>
                <w:rFonts w:eastAsia="Times New Roman" w:cstheme="minorHAnsi"/>
                <w:color w:val="000000"/>
              </w:rPr>
              <w:t>76.6%</w:t>
            </w:r>
          </w:p>
        </w:tc>
      </w:tr>
      <w:tr w:rsidR="009C5C28" w:rsidRPr="007000EE" w14:paraId="6C367B63" w14:textId="77777777" w:rsidTr="006202FE">
        <w:tc>
          <w:tcPr>
            <w:tcW w:w="4505" w:type="dxa"/>
            <w:vAlign w:val="bottom"/>
          </w:tcPr>
          <w:p w14:paraId="17DB0957" w14:textId="5B1B9F91" w:rsidR="009C5C28" w:rsidRPr="00022DDD" w:rsidRDefault="003C141D" w:rsidP="009C5C28">
            <w:pPr>
              <w:rPr>
                <w:rFonts w:cstheme="minorHAnsi"/>
              </w:rPr>
            </w:pPr>
            <w:r w:rsidRPr="00022DDD">
              <w:rPr>
                <w:rFonts w:cstheme="minorHAnsi"/>
              </w:rPr>
              <w:t>Low Socio-Economic Status (Low SES)</w:t>
            </w:r>
          </w:p>
        </w:tc>
        <w:tc>
          <w:tcPr>
            <w:tcW w:w="4505" w:type="dxa"/>
            <w:vAlign w:val="bottom"/>
          </w:tcPr>
          <w:p w14:paraId="4901FC3D" w14:textId="4627B570" w:rsidR="009C5C28" w:rsidRPr="00022DDD" w:rsidRDefault="009C5C28" w:rsidP="009C5C28">
            <w:pPr>
              <w:jc w:val="right"/>
              <w:rPr>
                <w:rFonts w:cstheme="minorHAnsi"/>
              </w:rPr>
            </w:pPr>
            <w:r w:rsidRPr="00341556">
              <w:rPr>
                <w:rFonts w:eastAsia="Times New Roman" w:cstheme="minorHAnsi"/>
                <w:color w:val="000000"/>
              </w:rPr>
              <w:t>69.5%</w:t>
            </w:r>
          </w:p>
        </w:tc>
      </w:tr>
      <w:tr w:rsidR="009C5C28" w:rsidRPr="007000EE" w14:paraId="49EFB5EF" w14:textId="77777777" w:rsidTr="006202FE">
        <w:tc>
          <w:tcPr>
            <w:tcW w:w="4505" w:type="dxa"/>
            <w:vAlign w:val="bottom"/>
          </w:tcPr>
          <w:p w14:paraId="01286CE5" w14:textId="44ABAF68" w:rsidR="009C5C28" w:rsidRPr="00022DDD" w:rsidRDefault="009C5C28" w:rsidP="009C5C28">
            <w:pPr>
              <w:rPr>
                <w:rFonts w:cstheme="minorHAnsi"/>
              </w:rPr>
            </w:pPr>
            <w:r w:rsidRPr="00341556">
              <w:rPr>
                <w:rFonts w:eastAsia="Times New Roman" w:cstheme="minorHAnsi"/>
                <w:b/>
                <w:color w:val="000000"/>
              </w:rPr>
              <w:t>Reported Disability</w:t>
            </w:r>
          </w:p>
        </w:tc>
        <w:tc>
          <w:tcPr>
            <w:tcW w:w="4505" w:type="dxa"/>
            <w:vAlign w:val="bottom"/>
          </w:tcPr>
          <w:p w14:paraId="06E63E46" w14:textId="7C68555D" w:rsidR="009C5C28" w:rsidRPr="00022DDD" w:rsidRDefault="009C5C28" w:rsidP="009C5C28">
            <w:pPr>
              <w:jc w:val="right"/>
              <w:rPr>
                <w:rFonts w:cstheme="minorHAnsi"/>
              </w:rPr>
            </w:pPr>
            <w:r w:rsidRPr="00341556">
              <w:rPr>
                <w:rFonts w:eastAsia="Times New Roman" w:cstheme="minorHAnsi"/>
                <w:b/>
                <w:color w:val="000000"/>
              </w:rPr>
              <w:t>66.6%</w:t>
            </w:r>
          </w:p>
        </w:tc>
      </w:tr>
      <w:tr w:rsidR="009C5C28" w:rsidRPr="007000EE" w14:paraId="2452E9A6" w14:textId="77777777" w:rsidTr="006202FE">
        <w:tc>
          <w:tcPr>
            <w:tcW w:w="4505" w:type="dxa"/>
            <w:vAlign w:val="bottom"/>
          </w:tcPr>
          <w:p w14:paraId="0C236124" w14:textId="4DC561A1" w:rsidR="009C5C28" w:rsidRPr="00022DDD" w:rsidRDefault="00A55E97" w:rsidP="009C5C28">
            <w:pPr>
              <w:rPr>
                <w:rFonts w:cstheme="minorHAnsi"/>
              </w:rPr>
            </w:pPr>
            <w:r w:rsidRPr="00BA226C">
              <w:rPr>
                <w:rFonts w:cstheme="minorHAnsi"/>
              </w:rPr>
              <w:t>Non-English Speaking Background (NESB)</w:t>
            </w:r>
          </w:p>
        </w:tc>
        <w:tc>
          <w:tcPr>
            <w:tcW w:w="4505" w:type="dxa"/>
            <w:vAlign w:val="bottom"/>
          </w:tcPr>
          <w:p w14:paraId="44524CA3" w14:textId="499FBC28" w:rsidR="009C5C28" w:rsidRPr="00022DDD" w:rsidRDefault="009C5C28" w:rsidP="009C5C28">
            <w:pPr>
              <w:jc w:val="right"/>
              <w:rPr>
                <w:rFonts w:cstheme="minorHAnsi"/>
              </w:rPr>
            </w:pPr>
            <w:r w:rsidRPr="00341556">
              <w:rPr>
                <w:rFonts w:eastAsia="Times New Roman" w:cstheme="minorHAnsi"/>
                <w:color w:val="000000"/>
              </w:rPr>
              <w:t>57.0%</w:t>
            </w:r>
          </w:p>
        </w:tc>
      </w:tr>
    </w:tbl>
    <w:p w14:paraId="245917AC" w14:textId="10022F9D" w:rsidR="00334196" w:rsidRPr="009C5C28" w:rsidRDefault="009C5C28">
      <w:pPr>
        <w:rPr>
          <w:i/>
          <w:iCs/>
          <w:color w:val="002060"/>
          <w:sz w:val="20"/>
          <w:szCs w:val="20"/>
        </w:rPr>
      </w:pPr>
      <w:r w:rsidRPr="009C5C28">
        <w:rPr>
          <w:i/>
          <w:iCs/>
          <w:color w:val="002060"/>
          <w:sz w:val="20"/>
          <w:szCs w:val="20"/>
        </w:rPr>
        <w:t>Source: QILT-GOS, Data Tables.</w:t>
      </w:r>
    </w:p>
    <w:p w14:paraId="3EE94EC9" w14:textId="14546A9C" w:rsidR="009C5C28" w:rsidRDefault="009C5C28">
      <w:pPr>
        <w:rPr>
          <w:sz w:val="20"/>
          <w:szCs w:val="20"/>
        </w:rPr>
      </w:pPr>
    </w:p>
    <w:p w14:paraId="058A98ED" w14:textId="2FA73292" w:rsidR="009C5C28" w:rsidRDefault="007F4BAF">
      <w:r>
        <w:rPr>
          <w:lang w:val="en-US"/>
        </w:rPr>
        <w:t>According to the Q</w:t>
      </w:r>
      <w:r w:rsidR="003C141D">
        <w:rPr>
          <w:lang w:val="en-US"/>
        </w:rPr>
        <w:t>uality Indicators for Learning and Teaching (Q</w:t>
      </w:r>
      <w:r>
        <w:rPr>
          <w:lang w:val="en-US"/>
        </w:rPr>
        <w:t>ILT</w:t>
      </w:r>
      <w:r w:rsidR="003C141D">
        <w:rPr>
          <w:lang w:val="en-US"/>
        </w:rPr>
        <w:t>)</w:t>
      </w:r>
      <w:r>
        <w:rPr>
          <w:lang w:val="en-US"/>
        </w:rPr>
        <w:t xml:space="preserve"> 2018 Graduate Employment Outcomes Survey, the labour force participation rate for students with a reported disability was 85.9% in comparison to those with no disability of 92.3%</w:t>
      </w:r>
      <w:r>
        <w:rPr>
          <w:rStyle w:val="EndnoteReference"/>
          <w:lang w:val="en-US"/>
        </w:rPr>
        <w:endnoteReference w:id="10"/>
      </w:r>
      <w:r>
        <w:rPr>
          <w:lang w:val="en-US"/>
        </w:rPr>
        <w:t xml:space="preserve">. </w:t>
      </w:r>
      <w:r w:rsidR="00721382">
        <w:t>T</w:t>
      </w:r>
      <w:r w:rsidR="00721382" w:rsidRPr="00721382">
        <w:t xml:space="preserve">he interruption and compounding stresses of COVID-19 are likely to </w:t>
      </w:r>
      <w:r w:rsidR="00721382">
        <w:t>present long-term challenges to access and participation in study and employment for Students with Disability</w:t>
      </w:r>
      <w:r w:rsidR="00721382" w:rsidRPr="00721382">
        <w:t xml:space="preserve">, and the negative economic and social impacts are likely to be felt for many generations. </w:t>
      </w:r>
      <w:r>
        <w:rPr>
          <w:lang w:val="en-US"/>
        </w:rPr>
        <w:t xml:space="preserve">Labour force participation rates are directly linked to GDP. </w:t>
      </w:r>
      <w:r>
        <w:t>If the Government aims to drive the nation’s economic recovery, there is a strong economic imperative to ensure that Students with Disability are included and supported to contribute.</w:t>
      </w:r>
    </w:p>
    <w:p w14:paraId="3C4BD25F" w14:textId="77777777" w:rsidR="00653B74" w:rsidRPr="006202FE" w:rsidRDefault="00653B74"/>
    <w:p w14:paraId="200312B3" w14:textId="29AD86F7" w:rsidR="006202FE" w:rsidRPr="006202FE" w:rsidRDefault="006202FE" w:rsidP="006202FE">
      <w:r w:rsidRPr="006202FE">
        <w:t>ATEND acknowledges that consideration needs also to be given to the specific needs of Students from Non-</w:t>
      </w:r>
      <w:r w:rsidR="00390738" w:rsidRPr="006202FE">
        <w:t>English-Speaking</w:t>
      </w:r>
      <w:r w:rsidRPr="006202FE">
        <w:t xml:space="preserve"> Backgrounds, however ATEND is not qualified to address these issues, and suggests relevant expertise be sought.</w:t>
      </w:r>
    </w:p>
    <w:p w14:paraId="2F48E60A" w14:textId="77777777" w:rsidR="006202FE" w:rsidRPr="006202FE" w:rsidRDefault="006202FE" w:rsidP="006202FE">
      <w:pPr>
        <w:rPr>
          <w:rFonts w:eastAsiaTheme="minorEastAsia"/>
          <w:color w:val="2F5496" w:themeColor="accent1" w:themeShade="BF"/>
          <w:lang w:val="en-GB"/>
        </w:rPr>
      </w:pPr>
    </w:p>
    <w:p w14:paraId="1F0F7925" w14:textId="2D6F16E5" w:rsidR="00653B74" w:rsidRDefault="00653B74" w:rsidP="00653B74">
      <w:r>
        <w:t xml:space="preserve">It could be argued that Students with Disability are covered by the other equity categories, and therefore do not need separate identification and funding, however, this argument fails to address the unique and specific support, adjustment and employment needs of students living with disability that are different and specific to their needs in addition to the needs generated by being resident in a rural or regional area, or being from an Indigenous or low SES background. Disability requires its own response, and therefore </w:t>
      </w:r>
      <w:r w:rsidR="00390738">
        <w:t>requires</w:t>
      </w:r>
      <w:r>
        <w:t xml:space="preserve"> funding commensurate with the </w:t>
      </w:r>
      <w:r w:rsidR="00390738">
        <w:t xml:space="preserve">present and </w:t>
      </w:r>
      <w:r>
        <w:t>increasing numbers of students.</w:t>
      </w:r>
    </w:p>
    <w:p w14:paraId="070CDC0F" w14:textId="1362D304" w:rsidR="00561ECB" w:rsidRDefault="00561ECB" w:rsidP="00653B74"/>
    <w:p w14:paraId="38F472DD" w14:textId="77777777" w:rsidR="00FC249F" w:rsidRPr="009C5C28" w:rsidRDefault="00FC249F">
      <w:pPr>
        <w:rPr>
          <w:sz w:val="20"/>
          <w:szCs w:val="20"/>
        </w:rPr>
      </w:pPr>
    </w:p>
    <w:p w14:paraId="2557887C" w14:textId="55768D5A" w:rsidR="008958FE" w:rsidRDefault="008958FE" w:rsidP="008958FE">
      <w:pPr>
        <w:pStyle w:val="Heading1"/>
        <w:rPr>
          <w:lang w:val="en-AU"/>
        </w:rPr>
      </w:pPr>
      <w:r>
        <w:rPr>
          <w:lang w:val="en-AU"/>
        </w:rPr>
        <w:t>RECOMMENDATIONS</w:t>
      </w:r>
    </w:p>
    <w:p w14:paraId="66734486" w14:textId="321095C6" w:rsidR="007F4BAF" w:rsidRDefault="007F4BAF"/>
    <w:p w14:paraId="7DEB4D11" w14:textId="50437AC0" w:rsidR="007B5180" w:rsidRDefault="007B5180" w:rsidP="007B5180">
      <w:pPr>
        <w:pStyle w:val="NormalWeb"/>
        <w:numPr>
          <w:ilvl w:val="0"/>
          <w:numId w:val="5"/>
        </w:numPr>
        <w:rPr>
          <w:rStyle w:val="IntenseEmphasis"/>
          <w:rFonts w:asciiTheme="minorHAnsi" w:hAnsiTheme="minorHAnsi" w:cstheme="minorHAnsi"/>
          <w:i w:val="0"/>
          <w:iCs w:val="0"/>
        </w:rPr>
      </w:pPr>
      <w:r w:rsidRPr="00334196">
        <w:rPr>
          <w:rStyle w:val="IntenseEmphasis"/>
          <w:rFonts w:asciiTheme="minorHAnsi" w:hAnsiTheme="minorHAnsi" w:cstheme="minorHAnsi"/>
          <w:i w:val="0"/>
          <w:iCs w:val="0"/>
        </w:rPr>
        <w:t>Tailored support for Students with Disability is designed into all wider initiatives from the outset</w:t>
      </w:r>
    </w:p>
    <w:p w14:paraId="47C8F017" w14:textId="356A04C4" w:rsidR="007B5180" w:rsidRPr="007B5180" w:rsidRDefault="007B5180" w:rsidP="007B5180">
      <w:pPr>
        <w:rPr>
          <w:rStyle w:val="IntenseEmphasis"/>
          <w:rFonts w:cstheme="minorHAnsi"/>
          <w:i w:val="0"/>
          <w:iCs w:val="0"/>
          <w:color w:val="002060"/>
        </w:rPr>
      </w:pPr>
      <w:r>
        <w:rPr>
          <w:rStyle w:val="IntenseEmphasis"/>
          <w:rFonts w:cstheme="minorHAnsi"/>
          <w:i w:val="0"/>
          <w:iCs w:val="0"/>
          <w:color w:val="002060"/>
        </w:rPr>
        <w:t xml:space="preserve">Grant Agreements for all investments in </w:t>
      </w:r>
      <w:r w:rsidRPr="007B5180">
        <w:rPr>
          <w:rStyle w:val="IntenseEmphasis"/>
          <w:rFonts w:cstheme="minorHAnsi"/>
          <w:i w:val="0"/>
          <w:iCs w:val="0"/>
          <w:color w:val="002060"/>
        </w:rPr>
        <w:t xml:space="preserve">Regional University Centres, the </w:t>
      </w:r>
      <w:r>
        <w:rPr>
          <w:rStyle w:val="IntenseEmphasis"/>
          <w:rFonts w:cstheme="minorHAnsi"/>
          <w:i w:val="0"/>
          <w:iCs w:val="0"/>
          <w:color w:val="002060"/>
        </w:rPr>
        <w:t>proposed</w:t>
      </w:r>
      <w:r w:rsidRPr="007B5180">
        <w:rPr>
          <w:rStyle w:val="IntenseEmphasis"/>
          <w:rFonts w:cstheme="minorHAnsi"/>
          <w:i w:val="0"/>
          <w:iCs w:val="0"/>
          <w:color w:val="002060"/>
        </w:rPr>
        <w:t xml:space="preserve"> Indigenous, Regional and Low-SES Attainment Fund (IRLSAF) and </w:t>
      </w:r>
      <w:r w:rsidR="00653B74">
        <w:rPr>
          <w:rStyle w:val="IntenseEmphasis"/>
          <w:rFonts w:cstheme="minorHAnsi"/>
          <w:i w:val="0"/>
          <w:iCs w:val="0"/>
          <w:color w:val="002060"/>
        </w:rPr>
        <w:t xml:space="preserve">all </w:t>
      </w:r>
      <w:r w:rsidRPr="007B5180">
        <w:rPr>
          <w:rStyle w:val="IntenseEmphasis"/>
          <w:rFonts w:cstheme="minorHAnsi"/>
          <w:i w:val="0"/>
          <w:iCs w:val="0"/>
          <w:color w:val="002060"/>
        </w:rPr>
        <w:t xml:space="preserve">related funding </w:t>
      </w:r>
      <w:r>
        <w:rPr>
          <w:rStyle w:val="IntenseEmphasis"/>
          <w:rFonts w:cstheme="minorHAnsi"/>
          <w:i w:val="0"/>
          <w:iCs w:val="0"/>
          <w:color w:val="002060"/>
        </w:rPr>
        <w:t>must</w:t>
      </w:r>
      <w:r w:rsidRPr="007B5180">
        <w:rPr>
          <w:rStyle w:val="IntenseEmphasis"/>
          <w:rFonts w:cstheme="minorHAnsi"/>
          <w:i w:val="0"/>
          <w:iCs w:val="0"/>
          <w:color w:val="002060"/>
        </w:rPr>
        <w:t xml:space="preserve"> </w:t>
      </w:r>
      <w:r>
        <w:rPr>
          <w:rStyle w:val="IntenseEmphasis"/>
          <w:rFonts w:cstheme="minorHAnsi"/>
          <w:i w:val="0"/>
          <w:iCs w:val="0"/>
          <w:color w:val="002060"/>
        </w:rPr>
        <w:t xml:space="preserve">be </w:t>
      </w:r>
      <w:r w:rsidRPr="007B5180">
        <w:rPr>
          <w:rStyle w:val="IntenseEmphasis"/>
          <w:rFonts w:cstheme="minorHAnsi"/>
          <w:i w:val="0"/>
          <w:iCs w:val="0"/>
          <w:color w:val="002060"/>
        </w:rPr>
        <w:t xml:space="preserve">specifically </w:t>
      </w:r>
      <w:r>
        <w:rPr>
          <w:rStyle w:val="IntenseEmphasis"/>
          <w:rFonts w:cstheme="minorHAnsi"/>
          <w:i w:val="0"/>
          <w:iCs w:val="0"/>
          <w:color w:val="002060"/>
        </w:rPr>
        <w:t xml:space="preserve">required to </w:t>
      </w:r>
      <w:r w:rsidR="00653B74">
        <w:rPr>
          <w:rStyle w:val="IntenseEmphasis"/>
          <w:rFonts w:cstheme="minorHAnsi"/>
          <w:i w:val="0"/>
          <w:iCs w:val="0"/>
          <w:color w:val="002060"/>
        </w:rPr>
        <w:t xml:space="preserve">embed tailored support for Students with Disability and universal design principles into proposed initiatives. </w:t>
      </w:r>
      <w:r>
        <w:rPr>
          <w:rStyle w:val="IntenseEmphasis"/>
          <w:rFonts w:cstheme="minorHAnsi"/>
          <w:i w:val="0"/>
          <w:iCs w:val="0"/>
          <w:color w:val="002060"/>
        </w:rPr>
        <w:t xml:space="preserve">. </w:t>
      </w:r>
      <w:r w:rsidRPr="007B5180">
        <w:rPr>
          <w:rStyle w:val="IntenseEmphasis"/>
          <w:rFonts w:cstheme="minorHAnsi"/>
          <w:i w:val="0"/>
          <w:iCs w:val="0"/>
          <w:color w:val="002060"/>
        </w:rPr>
        <w:t xml:space="preserve"> </w:t>
      </w:r>
      <w:r>
        <w:rPr>
          <w:rStyle w:val="IntenseEmphasis"/>
          <w:rFonts w:cstheme="minorHAnsi"/>
          <w:i w:val="0"/>
          <w:iCs w:val="0"/>
          <w:color w:val="002060"/>
        </w:rPr>
        <w:t>As a minimum, this would include; all Grant funded positions are required to complete Disability Awareness in Higher Education training, accessible content, flexible delivery and co-design and co-implementation.</w:t>
      </w:r>
    </w:p>
    <w:p w14:paraId="46F8883A" w14:textId="3F459657" w:rsidR="007B5180" w:rsidRDefault="007B5180" w:rsidP="007B5180">
      <w:pPr>
        <w:pStyle w:val="NormalWeb"/>
        <w:numPr>
          <w:ilvl w:val="0"/>
          <w:numId w:val="5"/>
        </w:numPr>
        <w:rPr>
          <w:rStyle w:val="IntenseEmphasis"/>
          <w:rFonts w:asciiTheme="minorHAnsi" w:hAnsiTheme="minorHAnsi" w:cstheme="minorHAnsi"/>
          <w:i w:val="0"/>
          <w:iCs w:val="0"/>
        </w:rPr>
      </w:pPr>
      <w:r w:rsidRPr="00334196">
        <w:rPr>
          <w:rStyle w:val="IntenseEmphasis"/>
          <w:rFonts w:asciiTheme="minorHAnsi" w:hAnsiTheme="minorHAnsi" w:cstheme="minorHAnsi"/>
          <w:i w:val="0"/>
          <w:iCs w:val="0"/>
        </w:rPr>
        <w:t xml:space="preserve">Funding to meet the specific needs of Students with Disability is proportionate to the </w:t>
      </w:r>
      <w:r w:rsidR="00624D42">
        <w:rPr>
          <w:rStyle w:val="IntenseEmphasis"/>
          <w:rFonts w:asciiTheme="minorHAnsi" w:hAnsiTheme="minorHAnsi" w:cstheme="minorHAnsi"/>
          <w:i w:val="0"/>
          <w:iCs w:val="0"/>
        </w:rPr>
        <w:t>participation</w:t>
      </w:r>
      <w:r w:rsidR="00624D42" w:rsidRPr="00334196">
        <w:rPr>
          <w:rStyle w:val="IntenseEmphasis"/>
          <w:rFonts w:asciiTheme="minorHAnsi" w:hAnsiTheme="minorHAnsi" w:cstheme="minorHAnsi"/>
          <w:i w:val="0"/>
          <w:iCs w:val="0"/>
        </w:rPr>
        <w:t xml:space="preserve"> </w:t>
      </w:r>
      <w:r w:rsidRPr="00334196">
        <w:rPr>
          <w:rStyle w:val="IntenseEmphasis"/>
          <w:rFonts w:asciiTheme="minorHAnsi" w:hAnsiTheme="minorHAnsi" w:cstheme="minorHAnsi"/>
          <w:i w:val="0"/>
          <w:iCs w:val="0"/>
        </w:rPr>
        <w:t xml:space="preserve">rate of Students with Disability in Higher Education, and is increased </w:t>
      </w:r>
      <w:r w:rsidRPr="00334196">
        <w:rPr>
          <w:rStyle w:val="IntenseEmphasis"/>
          <w:rFonts w:asciiTheme="minorHAnsi" w:hAnsiTheme="minorHAnsi" w:cstheme="minorHAnsi"/>
          <w:i w:val="0"/>
          <w:iCs w:val="0"/>
        </w:rPr>
        <w:lastRenderedPageBreak/>
        <w:t xml:space="preserve">comparably to funding increases proposed for Indigenous, Regional and Low-SES </w:t>
      </w:r>
      <w:r w:rsidR="00022DDD">
        <w:rPr>
          <w:rStyle w:val="IntenseEmphasis"/>
          <w:rFonts w:asciiTheme="minorHAnsi" w:hAnsiTheme="minorHAnsi" w:cstheme="minorHAnsi"/>
          <w:i w:val="0"/>
          <w:iCs w:val="0"/>
        </w:rPr>
        <w:t>S</w:t>
      </w:r>
      <w:r w:rsidRPr="00334196">
        <w:rPr>
          <w:rStyle w:val="IntenseEmphasis"/>
          <w:rFonts w:asciiTheme="minorHAnsi" w:hAnsiTheme="minorHAnsi" w:cstheme="minorHAnsi"/>
          <w:i w:val="0"/>
          <w:iCs w:val="0"/>
        </w:rPr>
        <w:t>tudents</w:t>
      </w:r>
    </w:p>
    <w:p w14:paraId="337B46F0" w14:textId="2A4726D1" w:rsidR="00C4302C" w:rsidRPr="00C4302C" w:rsidRDefault="002C0323" w:rsidP="00C4302C">
      <w:pPr>
        <w:rPr>
          <w:rStyle w:val="IntenseEmphasis"/>
          <w:rFonts w:cstheme="minorHAnsi"/>
          <w:i w:val="0"/>
          <w:iCs w:val="0"/>
          <w:color w:val="002060"/>
        </w:rPr>
      </w:pPr>
      <w:r w:rsidRPr="00C51456">
        <w:rPr>
          <w:rStyle w:val="IntenseEmphasis"/>
          <w:rFonts w:cstheme="minorHAnsi"/>
          <w:i w:val="0"/>
          <w:iCs w:val="0"/>
          <w:color w:val="002060"/>
        </w:rPr>
        <w:t>Across</w:t>
      </w:r>
      <w:r w:rsidR="00196471" w:rsidRPr="00C51456">
        <w:rPr>
          <w:rStyle w:val="IntenseEmphasis"/>
          <w:rFonts w:cstheme="minorHAnsi"/>
          <w:i w:val="0"/>
          <w:iCs w:val="0"/>
          <w:color w:val="002060"/>
        </w:rPr>
        <w:t xml:space="preserve"> </w:t>
      </w:r>
      <w:r w:rsidR="00EF7D86">
        <w:rPr>
          <w:rStyle w:val="IntenseEmphasis"/>
          <w:rFonts w:cstheme="minorHAnsi"/>
          <w:i w:val="0"/>
          <w:iCs w:val="0"/>
          <w:color w:val="002060"/>
        </w:rPr>
        <w:t>5</w:t>
      </w:r>
      <w:r w:rsidR="00196471" w:rsidRPr="00C51456">
        <w:rPr>
          <w:rStyle w:val="IntenseEmphasis"/>
          <w:rFonts w:cstheme="minorHAnsi"/>
          <w:i w:val="0"/>
          <w:iCs w:val="0"/>
          <w:color w:val="002060"/>
        </w:rPr>
        <w:t xml:space="preserve"> amendments</w:t>
      </w:r>
      <w:r w:rsidR="00EF7D86">
        <w:rPr>
          <w:rStyle w:val="FootnoteReference"/>
          <w:rFonts w:cstheme="minorHAnsi"/>
          <w:color w:val="002060"/>
        </w:rPr>
        <w:footnoteReference w:id="1"/>
      </w:r>
      <w:r w:rsidR="00196471" w:rsidRPr="00C51456">
        <w:rPr>
          <w:rStyle w:val="IntenseEmphasis"/>
          <w:rFonts w:cstheme="minorHAnsi"/>
          <w:i w:val="0"/>
          <w:iCs w:val="0"/>
          <w:color w:val="002060"/>
        </w:rPr>
        <w:t xml:space="preserve"> to the </w:t>
      </w:r>
      <w:r w:rsidR="00196471" w:rsidRPr="00C51456">
        <w:rPr>
          <w:rStyle w:val="IntenseEmphasis"/>
          <w:rFonts w:cstheme="minorHAnsi"/>
          <w:iCs w:val="0"/>
          <w:color w:val="002060"/>
        </w:rPr>
        <w:t>Other Grants Guidelines (Education) 2012 from October 2012 to December 2019, there has been zero per cent (0%) additional specific grant funding awarded beyond indexation for students with disability</w:t>
      </w:r>
      <w:r w:rsidR="00196471" w:rsidRPr="00C51456">
        <w:rPr>
          <w:rStyle w:val="EndnoteReference"/>
          <w:rFonts w:cstheme="minorHAnsi"/>
          <w:i/>
          <w:color w:val="002060"/>
        </w:rPr>
        <w:endnoteReference w:id="11"/>
      </w:r>
      <w:r w:rsidR="00196471" w:rsidRPr="00C51456">
        <w:rPr>
          <w:rStyle w:val="IntenseEmphasis"/>
          <w:rFonts w:cstheme="minorHAnsi"/>
          <w:iCs w:val="0"/>
          <w:color w:val="002060"/>
        </w:rPr>
        <w:t>.</w:t>
      </w:r>
      <w:r w:rsidR="00B518AB">
        <w:rPr>
          <w:rStyle w:val="IntenseEmphasis"/>
          <w:rFonts w:cstheme="minorHAnsi"/>
          <w:i w:val="0"/>
          <w:iCs w:val="0"/>
          <w:color w:val="002060"/>
        </w:rPr>
        <w:t xml:space="preserve"> </w:t>
      </w:r>
      <w:r w:rsidR="00711242">
        <w:rPr>
          <w:rStyle w:val="IntenseEmphasis"/>
          <w:rFonts w:cstheme="minorHAnsi"/>
          <w:i w:val="0"/>
          <w:iCs w:val="0"/>
          <w:color w:val="002060"/>
        </w:rPr>
        <w:t>During the same period, the number of Students with Disability</w:t>
      </w:r>
      <w:r w:rsidR="00A27682">
        <w:rPr>
          <w:rStyle w:val="IntenseEmphasis"/>
          <w:rFonts w:cstheme="minorHAnsi"/>
          <w:i w:val="0"/>
          <w:iCs w:val="0"/>
          <w:color w:val="002060"/>
        </w:rPr>
        <w:t xml:space="preserve"> participating in Higher Education in Australia grew from 4</w:t>
      </w:r>
      <w:r w:rsidR="00C51456">
        <w:rPr>
          <w:rStyle w:val="IntenseEmphasis"/>
          <w:rFonts w:cstheme="minorHAnsi"/>
          <w:i w:val="0"/>
          <w:iCs w:val="0"/>
          <w:color w:val="002060"/>
        </w:rPr>
        <w:t xml:space="preserve">3,732 to 70,143 (sourced from </w:t>
      </w:r>
      <w:hyperlink r:id="rId10" w:history="1">
        <w:r w:rsidR="00C51456" w:rsidRPr="00C51456">
          <w:rPr>
            <w:rStyle w:val="Hyperlink"/>
            <w:rFonts w:cstheme="minorHAnsi"/>
            <w:i/>
            <w:iCs/>
          </w:rPr>
          <w:t>The Australian Government – Power BI Tool</w:t>
        </w:r>
      </w:hyperlink>
      <w:r w:rsidR="00C51456" w:rsidRPr="00C51456">
        <w:rPr>
          <w:rFonts w:cstheme="minorHAnsi"/>
          <w:i/>
          <w:iCs/>
          <w:color w:val="002060"/>
        </w:rPr>
        <w:t xml:space="preserve">, </w:t>
      </w:r>
      <w:r w:rsidR="00C51456" w:rsidRPr="00C51456">
        <w:rPr>
          <w:rFonts w:cstheme="minorHAnsi"/>
          <w:color w:val="002060"/>
        </w:rPr>
        <w:t>Accessed June 2020</w:t>
      </w:r>
      <w:r w:rsidR="00C51456">
        <w:rPr>
          <w:rStyle w:val="IntenseEmphasis"/>
          <w:rFonts w:cstheme="minorHAnsi"/>
          <w:i w:val="0"/>
          <w:iCs w:val="0"/>
          <w:color w:val="002060"/>
        </w:rPr>
        <w:t>).</w:t>
      </w:r>
      <w:r w:rsidR="00A27682">
        <w:rPr>
          <w:rStyle w:val="IntenseEmphasis"/>
          <w:rFonts w:cstheme="minorHAnsi"/>
          <w:i w:val="0"/>
          <w:iCs w:val="0"/>
          <w:color w:val="002060"/>
        </w:rPr>
        <w:t xml:space="preserve"> </w:t>
      </w:r>
      <w:r w:rsidR="00B518AB">
        <w:rPr>
          <w:rStyle w:val="IntenseEmphasis"/>
          <w:rFonts w:cstheme="minorHAnsi"/>
          <w:i w:val="0"/>
          <w:iCs w:val="0"/>
          <w:color w:val="002060"/>
        </w:rPr>
        <w:t>Th</w:t>
      </w:r>
      <w:r w:rsidR="00711242">
        <w:rPr>
          <w:rStyle w:val="IntenseEmphasis"/>
          <w:rFonts w:cstheme="minorHAnsi"/>
          <w:i w:val="0"/>
          <w:iCs w:val="0"/>
          <w:color w:val="002060"/>
        </w:rPr>
        <w:t xml:space="preserve">is presents </w:t>
      </w:r>
      <w:r w:rsidR="00B518AB">
        <w:rPr>
          <w:rStyle w:val="IntenseEmphasis"/>
          <w:rFonts w:cstheme="minorHAnsi"/>
          <w:i w:val="0"/>
          <w:iCs w:val="0"/>
          <w:color w:val="002060"/>
        </w:rPr>
        <w:t xml:space="preserve">an opportunity to reform the </w:t>
      </w:r>
      <w:r w:rsidR="00B518AB" w:rsidRPr="00341556">
        <w:rPr>
          <w:rStyle w:val="IntenseEmphasis"/>
          <w:rFonts w:cstheme="minorHAnsi"/>
          <w:iCs w:val="0"/>
          <w:color w:val="002060"/>
        </w:rPr>
        <w:t>Other Grants Guidelines (Education) 2012</w:t>
      </w:r>
      <w:r w:rsidR="00B518AB">
        <w:rPr>
          <w:rStyle w:val="IntenseEmphasis"/>
          <w:rFonts w:cstheme="minorHAnsi"/>
          <w:i w:val="0"/>
          <w:iCs w:val="0"/>
          <w:color w:val="002060"/>
        </w:rPr>
        <w:t xml:space="preserve"> and review the criteria and model for the Higher Education Disability Support Fund, to ensure support for Students with Disability is </w:t>
      </w:r>
      <w:r w:rsidR="00341556">
        <w:rPr>
          <w:rStyle w:val="IntenseEmphasis"/>
          <w:rFonts w:cstheme="minorHAnsi"/>
          <w:i w:val="0"/>
          <w:iCs w:val="0"/>
          <w:color w:val="002060"/>
        </w:rPr>
        <w:t xml:space="preserve">equitable </w:t>
      </w:r>
      <w:r w:rsidR="00B518AB">
        <w:rPr>
          <w:rStyle w:val="IntenseEmphasis"/>
          <w:rFonts w:cstheme="minorHAnsi"/>
          <w:i w:val="0"/>
          <w:iCs w:val="0"/>
          <w:color w:val="002060"/>
        </w:rPr>
        <w:t>and specifically designed to meet the needs of this equity group.</w:t>
      </w:r>
    </w:p>
    <w:p w14:paraId="478EE712" w14:textId="5B29F422" w:rsidR="007B5180" w:rsidRDefault="007B5180" w:rsidP="007B5180">
      <w:pPr>
        <w:pStyle w:val="NormalWeb"/>
        <w:numPr>
          <w:ilvl w:val="0"/>
          <w:numId w:val="5"/>
        </w:numPr>
        <w:spacing w:after="360" w:afterAutospacing="0"/>
        <w:rPr>
          <w:rStyle w:val="IntenseEmphasis"/>
          <w:rFonts w:asciiTheme="minorHAnsi" w:hAnsiTheme="minorHAnsi" w:cstheme="minorHAnsi"/>
          <w:i w:val="0"/>
          <w:iCs w:val="0"/>
        </w:rPr>
      </w:pPr>
      <w:r w:rsidRPr="00334196">
        <w:rPr>
          <w:rStyle w:val="IntenseEmphasis"/>
          <w:rFonts w:asciiTheme="minorHAnsi" w:hAnsiTheme="minorHAnsi" w:cstheme="minorHAnsi"/>
          <w:i w:val="0"/>
          <w:iCs w:val="0"/>
        </w:rPr>
        <w:t xml:space="preserve">Commitment is made to scoping the development of a National Strategy for Students with Disability in </w:t>
      </w:r>
      <w:r w:rsidR="00341556">
        <w:rPr>
          <w:rStyle w:val="IntenseEmphasis"/>
          <w:rFonts w:asciiTheme="minorHAnsi" w:hAnsiTheme="minorHAnsi" w:cstheme="minorHAnsi"/>
          <w:i w:val="0"/>
          <w:iCs w:val="0"/>
        </w:rPr>
        <w:t>Tertiary</w:t>
      </w:r>
      <w:r w:rsidR="00341556" w:rsidRPr="00334196">
        <w:rPr>
          <w:rStyle w:val="IntenseEmphasis"/>
          <w:rFonts w:asciiTheme="minorHAnsi" w:hAnsiTheme="minorHAnsi" w:cstheme="minorHAnsi"/>
          <w:i w:val="0"/>
          <w:iCs w:val="0"/>
        </w:rPr>
        <w:t xml:space="preserve"> </w:t>
      </w:r>
      <w:r w:rsidRPr="00334196">
        <w:rPr>
          <w:rStyle w:val="IntenseEmphasis"/>
          <w:rFonts w:asciiTheme="minorHAnsi" w:hAnsiTheme="minorHAnsi" w:cstheme="minorHAnsi"/>
          <w:i w:val="0"/>
          <w:iCs w:val="0"/>
        </w:rPr>
        <w:t>Education.</w:t>
      </w:r>
    </w:p>
    <w:p w14:paraId="56D626F2" w14:textId="1854317A" w:rsidR="007B5180" w:rsidRDefault="007B5180" w:rsidP="007B5180">
      <w:pPr>
        <w:pBdr>
          <w:bottom w:val="single" w:sz="12" w:space="1" w:color="auto"/>
        </w:pBdr>
      </w:pPr>
      <w:r>
        <w:t xml:space="preserve">We applaud the work undertaken to highlight the issues </w:t>
      </w:r>
      <w:r w:rsidR="00390738">
        <w:t>Indigenous</w:t>
      </w:r>
      <w:r w:rsidR="00624D42">
        <w:t xml:space="preserve">, low SES, </w:t>
      </w:r>
      <w:r>
        <w:t xml:space="preserve">regional, rural and remote students face when accessing, participating in and succeeding in Higher Education.  We note that this has resulted in a National Regional, Rural and Remote Tertiary Education Strategy – which underpins many of the funding increases and changes currently proposed.  Given the rapid growth of Students with Disability in Higher Education, and the demonstrably disproportionate funding for equity groups, </w:t>
      </w:r>
      <w:r w:rsidR="00624D42">
        <w:t xml:space="preserve">ATEND recommends that </w:t>
      </w:r>
      <w:r>
        <w:t xml:space="preserve">2020 is the right year to begin the work of </w:t>
      </w:r>
      <w:r w:rsidR="00624D42">
        <w:t xml:space="preserve">scrutinising </w:t>
      </w:r>
      <w:r>
        <w:t>the issues experienced by Students with Disability</w:t>
      </w:r>
      <w:r w:rsidR="00583A5F">
        <w:t>, and for</w:t>
      </w:r>
      <w:r>
        <w:t xml:space="preserve"> </w:t>
      </w:r>
      <w:r w:rsidR="00624D42">
        <w:t xml:space="preserve">the making of Federal Government </w:t>
      </w:r>
      <w:r>
        <w:t xml:space="preserve">commitments </w:t>
      </w:r>
      <w:r w:rsidR="00624D42">
        <w:t xml:space="preserve">commensurate with those made </w:t>
      </w:r>
      <w:r>
        <w:t>for students from</w:t>
      </w:r>
      <w:r w:rsidR="00624D42">
        <w:t xml:space="preserve"> Indigenous, low SES,</w:t>
      </w:r>
      <w:r>
        <w:t xml:space="preserve"> regional, rural and remote locations.</w:t>
      </w:r>
    </w:p>
    <w:p w14:paraId="7597FA46" w14:textId="77777777" w:rsidR="00196471" w:rsidRPr="007B5180" w:rsidRDefault="00196471" w:rsidP="007B5180">
      <w:pPr>
        <w:pBdr>
          <w:bottom w:val="single" w:sz="12" w:space="1" w:color="auto"/>
        </w:pBdr>
        <w:rPr>
          <w:rStyle w:val="IntenseEmphasis"/>
          <w:rFonts w:cstheme="minorHAnsi"/>
          <w:i w:val="0"/>
          <w:iCs w:val="0"/>
          <w:color w:val="002060"/>
        </w:rPr>
      </w:pPr>
    </w:p>
    <w:p w14:paraId="7DD9A612" w14:textId="77777777" w:rsidR="00B518AB" w:rsidRDefault="00B518AB"/>
    <w:p w14:paraId="1FA3D40B" w14:textId="77777777" w:rsidR="007F4BAF" w:rsidRDefault="007F4BAF"/>
    <w:p w14:paraId="1AE5EB5D" w14:textId="77777777" w:rsidR="00B518AB" w:rsidRDefault="008B6DE8">
      <w:r w:rsidRPr="008B6DE8">
        <w:t xml:space="preserve">ATEND is confident that the information we have presented herein will spark Ministerial action to adequately and proportionately </w:t>
      </w:r>
      <w:r w:rsidR="00C4302C">
        <w:t>support</w:t>
      </w:r>
      <w:r w:rsidRPr="008B6DE8">
        <w:t xml:space="preserve"> Students with Disability to access, participate and succeed in Higher Education. </w:t>
      </w:r>
    </w:p>
    <w:p w14:paraId="1B5C261B" w14:textId="77777777" w:rsidR="00B518AB" w:rsidRDefault="00B518AB"/>
    <w:p w14:paraId="2FA627DF" w14:textId="755374FC" w:rsidR="009C5C28" w:rsidRPr="008B6DE8" w:rsidRDefault="00D83B8C">
      <w:r w:rsidRPr="008B6DE8">
        <w:t>ATEND represents a national membership base of disability practitioners in tertiary education and is well positioned to facilitate consultation with</w:t>
      </w:r>
      <w:r w:rsidR="00B32E02">
        <w:t xml:space="preserve"> Government and</w:t>
      </w:r>
      <w:r w:rsidRPr="008B6DE8">
        <w:t xml:space="preserve"> relevant stakeholders across the </w:t>
      </w:r>
      <w:r w:rsidR="00B32E02">
        <w:t>Tertiary</w:t>
      </w:r>
      <w:r w:rsidR="00B32E02" w:rsidRPr="008B6DE8">
        <w:t xml:space="preserve"> </w:t>
      </w:r>
      <w:r w:rsidRPr="008B6DE8">
        <w:t xml:space="preserve">Education sector. </w:t>
      </w:r>
      <w:r w:rsidR="00B32E02">
        <w:t>We</w:t>
      </w:r>
      <w:r w:rsidRPr="008B6DE8">
        <w:t xml:space="preserve"> look forward to furthering this conversation with you, so that together we can achieve </w:t>
      </w:r>
      <w:r w:rsidR="00B32E02">
        <w:t>Tertiary</w:t>
      </w:r>
      <w:r w:rsidR="00B32E02" w:rsidRPr="008B6DE8">
        <w:t xml:space="preserve"> </w:t>
      </w:r>
      <w:r w:rsidRPr="008B6DE8">
        <w:t>Education reforms that benefit all Australians.</w:t>
      </w:r>
    </w:p>
    <w:p w14:paraId="0BC29B5C" w14:textId="43CEC7C7" w:rsidR="00D83B8C" w:rsidRPr="008B6DE8" w:rsidRDefault="00D83B8C"/>
    <w:p w14:paraId="6ED2EF56" w14:textId="4A588622" w:rsidR="00D83B8C" w:rsidRPr="008B6DE8" w:rsidRDefault="00D83B8C">
      <w:r w:rsidRPr="008B6DE8">
        <w:t xml:space="preserve">Yours </w:t>
      </w:r>
      <w:r w:rsidR="00BA34C0">
        <w:t>s</w:t>
      </w:r>
      <w:r w:rsidRPr="008B6DE8">
        <w:t>incerely,</w:t>
      </w:r>
    </w:p>
    <w:p w14:paraId="766BCFD5" w14:textId="2111167E" w:rsidR="00D83B8C" w:rsidRPr="008B6DE8" w:rsidRDefault="00D83B8C"/>
    <w:p w14:paraId="279899D8" w14:textId="4F959247" w:rsidR="00D83B8C" w:rsidRPr="008B6DE8" w:rsidRDefault="00AF6A99">
      <w:r>
        <w:rPr>
          <w:noProof/>
        </w:rPr>
        <w:drawing>
          <wp:inline distT="0" distB="0" distL="0" distR="0" wp14:anchorId="38199738" wp14:editId="265400C0">
            <wp:extent cx="828675" cy="373532"/>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667" cy="392010"/>
                    </a:xfrm>
                    <a:prstGeom prst="rect">
                      <a:avLst/>
                    </a:prstGeom>
                  </pic:spPr>
                </pic:pic>
              </a:graphicData>
            </a:graphic>
          </wp:inline>
        </w:drawing>
      </w:r>
    </w:p>
    <w:p w14:paraId="164AD081" w14:textId="2B994E4E" w:rsidR="00D83B8C" w:rsidRPr="00B32E02" w:rsidRDefault="00D83B8C">
      <w:pPr>
        <w:rPr>
          <w:b/>
        </w:rPr>
      </w:pPr>
      <w:r w:rsidRPr="00B32E02">
        <w:rPr>
          <w:b/>
        </w:rPr>
        <w:t>Anthony Gartner</w:t>
      </w:r>
    </w:p>
    <w:p w14:paraId="2DA1338A" w14:textId="7F66C53A" w:rsidR="006D4A7D" w:rsidRDefault="00D83B8C">
      <w:r w:rsidRPr="008B6DE8">
        <w:t>President</w:t>
      </w:r>
      <w:bookmarkStart w:id="0" w:name="_GoBack"/>
      <w:bookmarkEnd w:id="0"/>
    </w:p>
    <w:p w14:paraId="2273E8A6" w14:textId="092E00EF" w:rsidR="00BA34C0" w:rsidRPr="008B6DE8" w:rsidRDefault="00BA34C0">
      <w:r>
        <w:t>Australian Tertiary Education Network on Disability</w:t>
      </w:r>
    </w:p>
    <w:p w14:paraId="599AE02D" w14:textId="53C70A4A" w:rsidR="005E21BC" w:rsidRDefault="005E21BC" w:rsidP="005E21BC">
      <w:pPr>
        <w:rPr>
          <w:rStyle w:val="Hyperlink"/>
          <w:rFonts w:ascii="Roboto Condensed Light" w:hAnsi="Roboto Condensed Light"/>
          <w:color w:val="1F3864"/>
          <w:sz w:val="22"/>
          <w:szCs w:val="22"/>
        </w:rPr>
      </w:pPr>
      <w:r w:rsidRPr="0020505A">
        <w:rPr>
          <w:rFonts w:ascii="Roboto Condensed Light" w:hAnsi="Roboto Condensed Light" w:cs="Calibri"/>
          <w:b/>
          <w:bCs/>
          <w:color w:val="000000" w:themeColor="text1"/>
          <w:sz w:val="22"/>
          <w:szCs w:val="22"/>
        </w:rPr>
        <w:t>M:</w:t>
      </w:r>
      <w:r>
        <w:rPr>
          <w:rStyle w:val="apple-converted-space"/>
          <w:rFonts w:ascii="Roboto Condensed Light" w:hAnsi="Roboto Condensed Light" w:cs="Calibri"/>
          <w:b/>
          <w:bCs/>
          <w:color w:val="FC0000"/>
          <w:sz w:val="22"/>
          <w:szCs w:val="22"/>
        </w:rPr>
        <w:t> </w:t>
      </w:r>
      <w:r>
        <w:rPr>
          <w:rFonts w:ascii="Roboto Condensed Light" w:hAnsi="Roboto Condensed Light"/>
          <w:color w:val="1F4E79"/>
          <w:sz w:val="22"/>
          <w:szCs w:val="22"/>
        </w:rPr>
        <w:t>0404 013 730</w:t>
      </w:r>
      <w:r>
        <w:rPr>
          <w:rStyle w:val="apple-converted-space"/>
          <w:rFonts w:ascii="Roboto Condensed Light" w:hAnsi="Roboto Condensed Light" w:cs="Calibri"/>
          <w:b/>
          <w:bCs/>
          <w:color w:val="000000"/>
          <w:sz w:val="22"/>
          <w:szCs w:val="22"/>
        </w:rPr>
        <w:t> </w:t>
      </w:r>
      <w:r>
        <w:rPr>
          <w:rFonts w:ascii="Roboto Condensed Light" w:hAnsi="Roboto Condensed Light"/>
          <w:color w:val="1F497D"/>
          <w:sz w:val="22"/>
          <w:szCs w:val="22"/>
        </w:rPr>
        <w:t>|</w:t>
      </w:r>
      <w:r>
        <w:rPr>
          <w:rStyle w:val="apple-converted-space"/>
          <w:rFonts w:ascii="Roboto Condensed Light" w:hAnsi="Roboto Condensed Light"/>
          <w:color w:val="1F497D"/>
          <w:sz w:val="22"/>
          <w:szCs w:val="22"/>
        </w:rPr>
        <w:t> </w:t>
      </w:r>
      <w:r w:rsidRPr="0020505A">
        <w:rPr>
          <w:rFonts w:ascii="Roboto Condensed Light" w:hAnsi="Roboto Condensed Light" w:cs="Calibri"/>
          <w:b/>
          <w:bCs/>
          <w:color w:val="000000" w:themeColor="text1"/>
          <w:sz w:val="22"/>
          <w:szCs w:val="22"/>
        </w:rPr>
        <w:t>E:</w:t>
      </w:r>
      <w:r>
        <w:rPr>
          <w:rStyle w:val="apple-converted-space"/>
          <w:rFonts w:ascii="Roboto Condensed Light" w:hAnsi="Roboto Condensed Light" w:cs="Calibri"/>
          <w:b/>
          <w:bCs/>
          <w:color w:val="FC0000"/>
          <w:sz w:val="22"/>
          <w:szCs w:val="22"/>
        </w:rPr>
        <w:t> </w:t>
      </w:r>
      <w:hyperlink r:id="rId12" w:history="1">
        <w:r>
          <w:rPr>
            <w:rStyle w:val="Hyperlink"/>
            <w:rFonts w:ascii="Roboto Condensed Light" w:hAnsi="Roboto Condensed Light"/>
            <w:color w:val="1F3864"/>
            <w:sz w:val="22"/>
            <w:szCs w:val="22"/>
          </w:rPr>
          <w:t>A.Gartner@latrobe.edu.au</w:t>
        </w:r>
      </w:hyperlink>
    </w:p>
    <w:p w14:paraId="15E2993E" w14:textId="311DA9A1" w:rsidR="001F72AD" w:rsidRDefault="001F72AD" w:rsidP="005E21BC">
      <w:pPr>
        <w:rPr>
          <w:rStyle w:val="Hyperlink"/>
          <w:rFonts w:ascii="Roboto Condensed Light" w:hAnsi="Roboto Condensed Light"/>
          <w:color w:val="1F3864"/>
          <w:sz w:val="22"/>
          <w:szCs w:val="22"/>
        </w:rPr>
      </w:pPr>
    </w:p>
    <w:p w14:paraId="43AB1DB0" w14:textId="5C08B88E" w:rsidR="00D875CA" w:rsidRDefault="00D875CA" w:rsidP="00D875CA">
      <w:pPr>
        <w:pStyle w:val="Heading1"/>
        <w:rPr>
          <w:lang w:val="en-AU"/>
        </w:rPr>
      </w:pPr>
      <w:r>
        <w:rPr>
          <w:lang w:val="en-AU"/>
        </w:rPr>
        <w:t>APPENDIX</w:t>
      </w:r>
      <w:r w:rsidR="00C51456">
        <w:rPr>
          <w:lang w:val="en-AU"/>
        </w:rPr>
        <w:t xml:space="preserve"> A</w:t>
      </w:r>
    </w:p>
    <w:p w14:paraId="76573D7F" w14:textId="4644DC42" w:rsidR="00D875CA" w:rsidRDefault="00D875CA">
      <w:pPr>
        <w:rPr>
          <w:sz w:val="20"/>
          <w:szCs w:val="20"/>
        </w:rPr>
      </w:pPr>
    </w:p>
    <w:tbl>
      <w:tblPr>
        <w:tblStyle w:val="TableGrid"/>
        <w:tblpPr w:leftFromText="180" w:rightFromText="180" w:vertAnchor="text" w:horzAnchor="margin" w:tblpY="88"/>
        <w:tblW w:w="9918" w:type="dxa"/>
        <w:tblLayout w:type="fixed"/>
        <w:tblLook w:val="04A0" w:firstRow="1" w:lastRow="0" w:firstColumn="1" w:lastColumn="0" w:noHBand="0" w:noVBand="1"/>
      </w:tblPr>
      <w:tblGrid>
        <w:gridCol w:w="2405"/>
        <w:gridCol w:w="2268"/>
        <w:gridCol w:w="5245"/>
      </w:tblGrid>
      <w:tr w:rsidR="00C3162E" w14:paraId="5EDD5A12" w14:textId="77777777" w:rsidTr="00C3162E">
        <w:trPr>
          <w:trHeight w:val="416"/>
        </w:trPr>
        <w:tc>
          <w:tcPr>
            <w:tcW w:w="2405" w:type="dxa"/>
            <w:shd w:val="clear" w:color="auto" w:fill="1F4E79" w:themeFill="accent5" w:themeFillShade="80"/>
          </w:tcPr>
          <w:p w14:paraId="459418A6" w14:textId="2E831E4D" w:rsidR="007D2896" w:rsidRPr="0022047A" w:rsidRDefault="007D2896" w:rsidP="006202FE">
            <w:pPr>
              <w:rPr>
                <w:color w:val="FFFFFF" w:themeColor="background1"/>
              </w:rPr>
            </w:pPr>
            <w:r w:rsidRPr="00710013">
              <w:rPr>
                <w:color w:val="FFFFFF" w:themeColor="background1"/>
              </w:rPr>
              <w:t xml:space="preserve">Table </w:t>
            </w:r>
            <w:r w:rsidRPr="0022047A">
              <w:rPr>
                <w:color w:val="FFFFFF" w:themeColor="background1"/>
              </w:rPr>
              <w:t>Grouping or Equity Category</w:t>
            </w:r>
          </w:p>
        </w:tc>
        <w:tc>
          <w:tcPr>
            <w:tcW w:w="2268" w:type="dxa"/>
            <w:shd w:val="clear" w:color="auto" w:fill="1F4E79" w:themeFill="accent5" w:themeFillShade="80"/>
          </w:tcPr>
          <w:p w14:paraId="668AE1AE" w14:textId="4BEF491F" w:rsidR="005C01C2" w:rsidRDefault="007D2896" w:rsidP="00B32E02">
            <w:pPr>
              <w:jc w:val="center"/>
              <w:rPr>
                <w:color w:val="FFFFFF" w:themeColor="background1"/>
              </w:rPr>
            </w:pPr>
            <w:r>
              <w:rPr>
                <w:color w:val="FFFFFF" w:themeColor="background1"/>
              </w:rPr>
              <w:t>$</w:t>
            </w:r>
            <w:r w:rsidR="00BB65FA">
              <w:rPr>
                <w:color w:val="FFFFFF" w:themeColor="background1"/>
              </w:rPr>
              <w:t xml:space="preserve"> </w:t>
            </w:r>
            <w:r>
              <w:rPr>
                <w:color w:val="FFFFFF" w:themeColor="background1"/>
              </w:rPr>
              <w:t xml:space="preserve">Spend </w:t>
            </w:r>
            <w:r w:rsidR="00622E80">
              <w:rPr>
                <w:color w:val="FFFFFF" w:themeColor="background1"/>
              </w:rPr>
              <w:t>P</w:t>
            </w:r>
            <w:r>
              <w:rPr>
                <w:color w:val="FFFFFF" w:themeColor="background1"/>
              </w:rPr>
              <w:t xml:space="preserve">er </w:t>
            </w:r>
            <w:r w:rsidR="00BB65FA">
              <w:rPr>
                <w:color w:val="FFFFFF" w:themeColor="background1"/>
              </w:rPr>
              <w:t>S</w:t>
            </w:r>
            <w:r>
              <w:rPr>
                <w:color w:val="FFFFFF" w:themeColor="background1"/>
              </w:rPr>
              <w:t xml:space="preserve">tudent, </w:t>
            </w:r>
          </w:p>
          <w:p w14:paraId="5D8260E9" w14:textId="60B0209C" w:rsidR="007D2896" w:rsidRPr="0022047A" w:rsidRDefault="007D2896" w:rsidP="00B32E02">
            <w:pPr>
              <w:jc w:val="center"/>
              <w:rPr>
                <w:color w:val="FFFFFF" w:themeColor="background1"/>
              </w:rPr>
            </w:pPr>
            <w:r>
              <w:rPr>
                <w:color w:val="FFFFFF" w:themeColor="background1"/>
              </w:rPr>
              <w:t xml:space="preserve">Higher Education Equity </w:t>
            </w:r>
            <w:r w:rsidR="00BB65FA">
              <w:rPr>
                <w:color w:val="FFFFFF" w:themeColor="background1"/>
              </w:rPr>
              <w:t>P</w:t>
            </w:r>
            <w:r>
              <w:rPr>
                <w:color w:val="FFFFFF" w:themeColor="background1"/>
              </w:rPr>
              <w:t>rograms</w:t>
            </w:r>
          </w:p>
        </w:tc>
        <w:tc>
          <w:tcPr>
            <w:tcW w:w="5245" w:type="dxa"/>
            <w:shd w:val="clear" w:color="auto" w:fill="1F4E79" w:themeFill="accent5" w:themeFillShade="80"/>
          </w:tcPr>
          <w:p w14:paraId="6DCCA4DB" w14:textId="77A02594" w:rsidR="007D2896" w:rsidRDefault="007D2896" w:rsidP="006D4A7D">
            <w:pPr>
              <w:rPr>
                <w:color w:val="FFFFFF" w:themeColor="background1"/>
              </w:rPr>
            </w:pPr>
            <w:r>
              <w:rPr>
                <w:color w:val="FFFFFF" w:themeColor="background1"/>
              </w:rPr>
              <w:t xml:space="preserve">Annualised, </w:t>
            </w:r>
            <w:r w:rsidR="00BB65FA">
              <w:rPr>
                <w:color w:val="FFFFFF" w:themeColor="background1"/>
              </w:rPr>
              <w:t>E</w:t>
            </w:r>
            <w:r>
              <w:rPr>
                <w:color w:val="FFFFFF" w:themeColor="background1"/>
              </w:rPr>
              <w:t xml:space="preserve">quity </w:t>
            </w:r>
            <w:r w:rsidR="00BB65FA">
              <w:rPr>
                <w:color w:val="FFFFFF" w:themeColor="background1"/>
              </w:rPr>
              <w:t>G</w:t>
            </w:r>
            <w:r>
              <w:rPr>
                <w:color w:val="FFFFFF" w:themeColor="background1"/>
              </w:rPr>
              <w:t xml:space="preserve">roup </w:t>
            </w:r>
            <w:r w:rsidR="00BB65FA">
              <w:rPr>
                <w:color w:val="FFFFFF" w:themeColor="background1"/>
              </w:rPr>
              <w:t>S</w:t>
            </w:r>
            <w:r>
              <w:rPr>
                <w:color w:val="FFFFFF" w:themeColor="background1"/>
              </w:rPr>
              <w:t xml:space="preserve">pecific </w:t>
            </w:r>
            <w:r w:rsidR="00BB65FA">
              <w:rPr>
                <w:color w:val="FFFFFF" w:themeColor="background1"/>
              </w:rPr>
              <w:t>F</w:t>
            </w:r>
            <w:r>
              <w:rPr>
                <w:color w:val="FFFFFF" w:themeColor="background1"/>
              </w:rPr>
              <w:t xml:space="preserve">unded </w:t>
            </w:r>
            <w:r w:rsidR="00BB65FA">
              <w:rPr>
                <w:color w:val="FFFFFF" w:themeColor="background1"/>
              </w:rPr>
              <w:t>P</w:t>
            </w:r>
            <w:r>
              <w:rPr>
                <w:color w:val="FFFFFF" w:themeColor="background1"/>
              </w:rPr>
              <w:t xml:space="preserve">rogram(s) </w:t>
            </w:r>
            <w:r w:rsidR="00BB65FA">
              <w:rPr>
                <w:color w:val="FFFFFF" w:themeColor="background1"/>
              </w:rPr>
              <w:t>C</w:t>
            </w:r>
            <w:r>
              <w:rPr>
                <w:color w:val="FFFFFF" w:themeColor="background1"/>
              </w:rPr>
              <w:t>ost $millions</w:t>
            </w:r>
          </w:p>
        </w:tc>
      </w:tr>
      <w:tr w:rsidR="007D2896" w14:paraId="39754447" w14:textId="77777777" w:rsidTr="00B32E02">
        <w:tc>
          <w:tcPr>
            <w:tcW w:w="2405" w:type="dxa"/>
          </w:tcPr>
          <w:p w14:paraId="6CD54FC2" w14:textId="77777777" w:rsidR="007D2896" w:rsidRPr="001972D0" w:rsidRDefault="007D2896" w:rsidP="006202FE">
            <w:pPr>
              <w:rPr>
                <w:b/>
              </w:rPr>
            </w:pPr>
            <w:r w:rsidRPr="001972D0">
              <w:rPr>
                <w:b/>
              </w:rPr>
              <w:t>Students with Disability</w:t>
            </w:r>
          </w:p>
        </w:tc>
        <w:tc>
          <w:tcPr>
            <w:tcW w:w="2268" w:type="dxa"/>
          </w:tcPr>
          <w:p w14:paraId="4E61C2E8" w14:textId="77777777" w:rsidR="007D2896" w:rsidRPr="001972D0" w:rsidRDefault="007D2896" w:rsidP="006202FE">
            <w:pPr>
              <w:jc w:val="right"/>
              <w:rPr>
                <w:b/>
              </w:rPr>
            </w:pPr>
            <w:r w:rsidRPr="001972D0">
              <w:rPr>
                <w:b/>
              </w:rPr>
              <w:t>$173.36</w:t>
            </w:r>
          </w:p>
        </w:tc>
        <w:tc>
          <w:tcPr>
            <w:tcW w:w="5245" w:type="dxa"/>
          </w:tcPr>
          <w:p w14:paraId="177F1AD2" w14:textId="78BBCC90" w:rsidR="007D2896" w:rsidRPr="001972D0" w:rsidRDefault="007D2896" w:rsidP="00B32E02">
            <w:pPr>
              <w:pStyle w:val="ListParagraph"/>
              <w:numPr>
                <w:ilvl w:val="0"/>
                <w:numId w:val="6"/>
              </w:numPr>
              <w:spacing w:before="0" w:after="0" w:line="240" w:lineRule="auto"/>
              <w:ind w:left="455"/>
              <w:rPr>
                <w:b/>
                <w:sz w:val="22"/>
                <w:szCs w:val="22"/>
              </w:rPr>
            </w:pPr>
            <w:r w:rsidRPr="001972D0">
              <w:rPr>
                <w:b/>
                <w:sz w:val="22"/>
                <w:szCs w:val="22"/>
              </w:rPr>
              <w:t>D</w:t>
            </w:r>
            <w:r w:rsidR="00BB65FA">
              <w:rPr>
                <w:b/>
                <w:sz w:val="22"/>
                <w:szCs w:val="22"/>
              </w:rPr>
              <w:t>isability Support Fund (D</w:t>
            </w:r>
            <w:r w:rsidRPr="001972D0">
              <w:rPr>
                <w:b/>
                <w:sz w:val="22"/>
                <w:szCs w:val="22"/>
              </w:rPr>
              <w:t>SF</w:t>
            </w:r>
            <w:r w:rsidR="00BB65FA">
              <w:rPr>
                <w:b/>
                <w:sz w:val="22"/>
                <w:szCs w:val="22"/>
              </w:rPr>
              <w:t>)</w:t>
            </w:r>
            <w:r w:rsidRPr="001972D0">
              <w:rPr>
                <w:b/>
                <w:sz w:val="22"/>
                <w:szCs w:val="22"/>
              </w:rPr>
              <w:t xml:space="preserve"> and A</w:t>
            </w:r>
            <w:r w:rsidR="00BB65FA">
              <w:rPr>
                <w:b/>
                <w:sz w:val="22"/>
                <w:szCs w:val="22"/>
              </w:rPr>
              <w:t>ustralian Disability Clearinghouse on Education and Training (AD</w:t>
            </w:r>
            <w:r w:rsidRPr="001972D0">
              <w:rPr>
                <w:b/>
                <w:sz w:val="22"/>
                <w:szCs w:val="22"/>
              </w:rPr>
              <w:t>CET</w:t>
            </w:r>
            <w:r w:rsidR="00BB65FA">
              <w:rPr>
                <w:b/>
                <w:sz w:val="22"/>
                <w:szCs w:val="22"/>
              </w:rPr>
              <w:t>)</w:t>
            </w:r>
            <w:r w:rsidRPr="001972D0">
              <w:rPr>
                <w:b/>
                <w:sz w:val="22"/>
                <w:szCs w:val="22"/>
              </w:rPr>
              <w:t xml:space="preserve"> </w:t>
            </w:r>
            <w:r w:rsidR="00C3162E">
              <w:rPr>
                <w:b/>
                <w:sz w:val="22"/>
                <w:szCs w:val="22"/>
              </w:rPr>
              <w:tab/>
            </w:r>
            <w:r w:rsidR="00C3162E">
              <w:rPr>
                <w:b/>
                <w:sz w:val="22"/>
                <w:szCs w:val="22"/>
              </w:rPr>
              <w:tab/>
            </w:r>
            <w:r w:rsidR="00C3162E">
              <w:rPr>
                <w:b/>
                <w:sz w:val="22"/>
                <w:szCs w:val="22"/>
              </w:rPr>
              <w:tab/>
            </w:r>
            <w:r>
              <w:rPr>
                <w:b/>
                <w:sz w:val="22"/>
                <w:szCs w:val="22"/>
              </w:rPr>
              <w:t>$</w:t>
            </w:r>
            <w:r w:rsidRPr="001972D0">
              <w:rPr>
                <w:b/>
                <w:sz w:val="22"/>
                <w:szCs w:val="22"/>
              </w:rPr>
              <w:t>7.78m</w:t>
            </w:r>
          </w:p>
          <w:p w14:paraId="0234AA48" w14:textId="695C37A0" w:rsidR="007D2896" w:rsidRPr="001972D0" w:rsidRDefault="00BB65FA" w:rsidP="00B32E02">
            <w:pPr>
              <w:pStyle w:val="ListParagraph"/>
              <w:numPr>
                <w:ilvl w:val="0"/>
                <w:numId w:val="6"/>
              </w:numPr>
              <w:spacing w:before="0" w:after="0" w:line="240" w:lineRule="auto"/>
              <w:ind w:left="455"/>
              <w:rPr>
                <w:b/>
                <w:sz w:val="22"/>
                <w:szCs w:val="22"/>
              </w:rPr>
            </w:pPr>
            <w:r>
              <w:rPr>
                <w:b/>
                <w:sz w:val="22"/>
                <w:szCs w:val="22"/>
              </w:rPr>
              <w:t>National Disability Coordination Officer Program (</w:t>
            </w:r>
            <w:r w:rsidR="007D2896" w:rsidRPr="001972D0">
              <w:rPr>
                <w:b/>
                <w:sz w:val="22"/>
                <w:szCs w:val="22"/>
              </w:rPr>
              <w:t>NDCO</w:t>
            </w:r>
            <w:r>
              <w:rPr>
                <w:b/>
                <w:sz w:val="22"/>
                <w:szCs w:val="22"/>
              </w:rPr>
              <w:t>)</w:t>
            </w:r>
            <w:r w:rsidR="007D2896" w:rsidRPr="001972D0">
              <w:rPr>
                <w:b/>
                <w:sz w:val="22"/>
                <w:szCs w:val="22"/>
              </w:rPr>
              <w:t xml:space="preserve"> </w:t>
            </w:r>
            <w:r w:rsidR="007D2896" w:rsidRPr="001972D0">
              <w:rPr>
                <w:b/>
                <w:i/>
                <w:sz w:val="22"/>
                <w:szCs w:val="22"/>
              </w:rPr>
              <w:t>(partial HE program)</w:t>
            </w:r>
            <w:r w:rsidR="007D2896" w:rsidRPr="001972D0">
              <w:rPr>
                <w:b/>
                <w:sz w:val="22"/>
                <w:szCs w:val="22"/>
              </w:rPr>
              <w:t xml:space="preserve"> </w:t>
            </w:r>
            <w:r w:rsidR="00C3162E">
              <w:rPr>
                <w:b/>
                <w:sz w:val="22"/>
                <w:szCs w:val="22"/>
              </w:rPr>
              <w:tab/>
            </w:r>
            <w:r w:rsidR="007D2896">
              <w:rPr>
                <w:b/>
                <w:sz w:val="22"/>
                <w:szCs w:val="22"/>
              </w:rPr>
              <w:t>$</w:t>
            </w:r>
            <w:r w:rsidR="007D2896" w:rsidRPr="001972D0">
              <w:rPr>
                <w:b/>
                <w:sz w:val="22"/>
                <w:szCs w:val="22"/>
              </w:rPr>
              <w:t>4.38m</w:t>
            </w:r>
          </w:p>
        </w:tc>
      </w:tr>
      <w:tr w:rsidR="007D2896" w14:paraId="0907386F" w14:textId="77777777" w:rsidTr="00B32E02">
        <w:tc>
          <w:tcPr>
            <w:tcW w:w="2405" w:type="dxa"/>
          </w:tcPr>
          <w:p w14:paraId="62C93381" w14:textId="77777777" w:rsidR="007D2896" w:rsidRPr="0022047A" w:rsidRDefault="007D2896" w:rsidP="006202FE">
            <w:r w:rsidRPr="0022047A">
              <w:t>Indigenous</w:t>
            </w:r>
          </w:p>
        </w:tc>
        <w:tc>
          <w:tcPr>
            <w:tcW w:w="2268" w:type="dxa"/>
          </w:tcPr>
          <w:p w14:paraId="5BC9D94B" w14:textId="77777777" w:rsidR="007D2896" w:rsidRPr="0022047A" w:rsidRDefault="007D2896" w:rsidP="006202FE">
            <w:pPr>
              <w:jc w:val="right"/>
            </w:pPr>
            <w:r>
              <w:t>$3,573.85</w:t>
            </w:r>
          </w:p>
        </w:tc>
        <w:tc>
          <w:tcPr>
            <w:tcW w:w="5245" w:type="dxa"/>
          </w:tcPr>
          <w:p w14:paraId="4043A235" w14:textId="6D615F05" w:rsidR="00BB65FA" w:rsidRDefault="007D2896" w:rsidP="00B32E02">
            <w:pPr>
              <w:pStyle w:val="ListParagraph"/>
              <w:numPr>
                <w:ilvl w:val="0"/>
                <w:numId w:val="10"/>
              </w:numPr>
              <w:spacing w:before="0" w:after="0" w:line="240" w:lineRule="auto"/>
              <w:ind w:left="455"/>
              <w:rPr>
                <w:sz w:val="22"/>
                <w:szCs w:val="22"/>
              </w:rPr>
            </w:pPr>
            <w:r w:rsidRPr="006C2C66">
              <w:rPr>
                <w:sz w:val="22"/>
                <w:szCs w:val="22"/>
              </w:rPr>
              <w:t xml:space="preserve">Demand Driven Funding </w:t>
            </w:r>
            <w:r w:rsidR="00C3162E">
              <w:rPr>
                <w:sz w:val="22"/>
                <w:szCs w:val="22"/>
              </w:rPr>
              <w:tab/>
            </w:r>
            <w:r w:rsidR="00C3162E">
              <w:rPr>
                <w:sz w:val="22"/>
                <w:szCs w:val="22"/>
              </w:rPr>
              <w:tab/>
            </w:r>
            <w:r w:rsidRPr="006C2C66">
              <w:rPr>
                <w:sz w:val="22"/>
                <w:szCs w:val="22"/>
              </w:rPr>
              <w:t>$4.25m</w:t>
            </w:r>
            <w:r>
              <w:rPr>
                <w:sz w:val="22"/>
                <w:szCs w:val="22"/>
              </w:rPr>
              <w:t xml:space="preserve"> </w:t>
            </w:r>
          </w:p>
          <w:p w14:paraId="69A1EEA1" w14:textId="708BDA53" w:rsidR="007D2896" w:rsidRPr="006C2C66" w:rsidRDefault="007D2896" w:rsidP="00B32E02">
            <w:pPr>
              <w:pStyle w:val="ListParagraph"/>
              <w:spacing w:before="0" w:after="0" w:line="240" w:lineRule="auto"/>
              <w:ind w:left="455"/>
              <w:rPr>
                <w:sz w:val="22"/>
                <w:szCs w:val="22"/>
              </w:rPr>
            </w:pPr>
            <w:r w:rsidRPr="006C2C66">
              <w:rPr>
                <w:i/>
                <w:sz w:val="22"/>
                <w:szCs w:val="22"/>
              </w:rPr>
              <w:t>(not included in calculation)</w:t>
            </w:r>
          </w:p>
          <w:p w14:paraId="044C9545" w14:textId="279D2BA0" w:rsidR="007D2896" w:rsidRPr="00B32E02" w:rsidRDefault="00C3162E" w:rsidP="00B32E02">
            <w:pPr>
              <w:pStyle w:val="ListParagraph"/>
              <w:numPr>
                <w:ilvl w:val="0"/>
                <w:numId w:val="9"/>
              </w:numPr>
              <w:spacing w:before="0" w:after="0" w:line="240" w:lineRule="auto"/>
              <w:ind w:left="455"/>
              <w:rPr>
                <w:sz w:val="22"/>
                <w:szCs w:val="22"/>
              </w:rPr>
            </w:pPr>
            <w:r>
              <w:rPr>
                <w:sz w:val="22"/>
                <w:szCs w:val="22"/>
              </w:rPr>
              <w:t>Indigenous Student Success Program (</w:t>
            </w:r>
            <w:r w:rsidR="007D2896">
              <w:rPr>
                <w:sz w:val="22"/>
                <w:szCs w:val="22"/>
              </w:rPr>
              <w:t>ISSP</w:t>
            </w:r>
            <w:r>
              <w:rPr>
                <w:sz w:val="22"/>
                <w:szCs w:val="22"/>
              </w:rPr>
              <w:t>)</w:t>
            </w:r>
            <w:r w:rsidR="007D2896">
              <w:rPr>
                <w:sz w:val="22"/>
                <w:szCs w:val="22"/>
              </w:rPr>
              <w:t xml:space="preserve"> </w:t>
            </w:r>
            <w:r w:rsidR="007D2896" w:rsidRPr="00B32E02">
              <w:rPr>
                <w:sz w:val="22"/>
                <w:szCs w:val="22"/>
              </w:rPr>
              <w:t>$68.5</w:t>
            </w:r>
            <w:r w:rsidRPr="00B32E02">
              <w:rPr>
                <w:sz w:val="22"/>
                <w:szCs w:val="22"/>
              </w:rPr>
              <w:t>m</w:t>
            </w:r>
            <w:r w:rsidR="007D2896" w:rsidRPr="00B32E02">
              <w:rPr>
                <w:sz w:val="22"/>
                <w:szCs w:val="22"/>
              </w:rPr>
              <w:t xml:space="preserve"> </w:t>
            </w:r>
          </w:p>
        </w:tc>
      </w:tr>
      <w:tr w:rsidR="007D2896" w14:paraId="14A75B86" w14:textId="77777777" w:rsidTr="00B32E02">
        <w:tc>
          <w:tcPr>
            <w:tcW w:w="2405" w:type="dxa"/>
          </w:tcPr>
          <w:p w14:paraId="750CAEEC" w14:textId="77777777" w:rsidR="007D2896" w:rsidRPr="0022047A" w:rsidRDefault="007D2896" w:rsidP="006202FE">
            <w:r w:rsidRPr="0022047A">
              <w:t>Low Socio-Economic Status (Low SES)</w:t>
            </w:r>
          </w:p>
        </w:tc>
        <w:tc>
          <w:tcPr>
            <w:tcW w:w="2268" w:type="dxa"/>
          </w:tcPr>
          <w:p w14:paraId="029F8135" w14:textId="77777777" w:rsidR="007D2896" w:rsidRPr="0022047A" w:rsidRDefault="007D2896" w:rsidP="006202FE">
            <w:pPr>
              <w:jc w:val="right"/>
            </w:pPr>
            <w:r>
              <w:t>$826.68</w:t>
            </w:r>
          </w:p>
        </w:tc>
        <w:tc>
          <w:tcPr>
            <w:tcW w:w="5245" w:type="dxa"/>
          </w:tcPr>
          <w:p w14:paraId="3C2C9044" w14:textId="710D78CB" w:rsidR="007D2896" w:rsidRPr="000D57C8" w:rsidRDefault="007D2896" w:rsidP="00B32E02">
            <w:pPr>
              <w:pStyle w:val="ListParagraph"/>
              <w:numPr>
                <w:ilvl w:val="0"/>
                <w:numId w:val="8"/>
              </w:numPr>
              <w:spacing w:before="0" w:after="0" w:line="240" w:lineRule="auto"/>
              <w:ind w:left="455"/>
              <w:rPr>
                <w:sz w:val="22"/>
                <w:szCs w:val="22"/>
              </w:rPr>
            </w:pPr>
            <w:r>
              <w:rPr>
                <w:sz w:val="22"/>
                <w:szCs w:val="22"/>
              </w:rPr>
              <w:t>H</w:t>
            </w:r>
            <w:r w:rsidR="005C01C2">
              <w:rPr>
                <w:sz w:val="22"/>
                <w:szCs w:val="22"/>
              </w:rPr>
              <w:t>igher Education Participation and Partnerships Program (H</w:t>
            </w:r>
            <w:r>
              <w:rPr>
                <w:sz w:val="22"/>
                <w:szCs w:val="22"/>
              </w:rPr>
              <w:t>EPPP</w:t>
            </w:r>
            <w:r w:rsidR="005C01C2">
              <w:rPr>
                <w:sz w:val="22"/>
                <w:szCs w:val="22"/>
              </w:rPr>
              <w:t>)</w:t>
            </w:r>
            <w:r>
              <w:rPr>
                <w:sz w:val="22"/>
                <w:szCs w:val="22"/>
              </w:rPr>
              <w:t xml:space="preserve"> (current) </w:t>
            </w:r>
            <w:r w:rsidR="00C3162E">
              <w:rPr>
                <w:sz w:val="22"/>
                <w:szCs w:val="22"/>
              </w:rPr>
              <w:tab/>
            </w:r>
            <w:r>
              <w:rPr>
                <w:sz w:val="22"/>
                <w:szCs w:val="22"/>
              </w:rPr>
              <w:t>$134.643m</w:t>
            </w:r>
          </w:p>
        </w:tc>
      </w:tr>
      <w:tr w:rsidR="007D2896" w14:paraId="70A45AE3" w14:textId="77777777" w:rsidTr="00B32E02">
        <w:tc>
          <w:tcPr>
            <w:tcW w:w="2405" w:type="dxa"/>
          </w:tcPr>
          <w:p w14:paraId="469FD184" w14:textId="77777777" w:rsidR="007D2896" w:rsidRPr="0022047A" w:rsidRDefault="007D2896" w:rsidP="006202FE">
            <w:r w:rsidRPr="0022047A">
              <w:t>Regional</w:t>
            </w:r>
          </w:p>
        </w:tc>
        <w:tc>
          <w:tcPr>
            <w:tcW w:w="2268" w:type="dxa"/>
          </w:tcPr>
          <w:p w14:paraId="7C358832" w14:textId="77777777" w:rsidR="007D2896" w:rsidRPr="0022047A" w:rsidRDefault="007D2896" w:rsidP="006202FE">
            <w:pPr>
              <w:jc w:val="right"/>
            </w:pPr>
            <w:r>
              <w:t>$608.98</w:t>
            </w:r>
          </w:p>
        </w:tc>
        <w:tc>
          <w:tcPr>
            <w:tcW w:w="5245" w:type="dxa"/>
          </w:tcPr>
          <w:p w14:paraId="2CB6DECD" w14:textId="4B6FD605" w:rsidR="007D2896" w:rsidRDefault="007D2896" w:rsidP="00B32E02">
            <w:pPr>
              <w:pStyle w:val="ListParagraph"/>
              <w:numPr>
                <w:ilvl w:val="0"/>
                <w:numId w:val="7"/>
              </w:numPr>
              <w:spacing w:before="0" w:after="0" w:line="240" w:lineRule="auto"/>
              <w:ind w:left="455"/>
              <w:rPr>
                <w:sz w:val="22"/>
                <w:szCs w:val="22"/>
              </w:rPr>
            </w:pPr>
            <w:r>
              <w:rPr>
                <w:sz w:val="22"/>
                <w:szCs w:val="22"/>
              </w:rPr>
              <w:t xml:space="preserve">A “range of measures” pending </w:t>
            </w:r>
            <w:r w:rsidR="00C3162E">
              <w:rPr>
                <w:sz w:val="22"/>
                <w:szCs w:val="22"/>
              </w:rPr>
              <w:tab/>
            </w:r>
            <w:r>
              <w:rPr>
                <w:sz w:val="22"/>
                <w:szCs w:val="22"/>
              </w:rPr>
              <w:t>$100m</w:t>
            </w:r>
          </w:p>
          <w:p w14:paraId="7E8E2307" w14:textId="48BAFB5C" w:rsidR="007D2896" w:rsidRDefault="007D2896" w:rsidP="00B32E02">
            <w:pPr>
              <w:pStyle w:val="ListParagraph"/>
              <w:numPr>
                <w:ilvl w:val="0"/>
                <w:numId w:val="7"/>
              </w:numPr>
              <w:spacing w:before="0" w:after="0" w:line="240" w:lineRule="auto"/>
              <w:ind w:left="455"/>
              <w:rPr>
                <w:sz w:val="22"/>
                <w:szCs w:val="22"/>
              </w:rPr>
            </w:pPr>
            <w:r>
              <w:rPr>
                <w:sz w:val="22"/>
                <w:szCs w:val="22"/>
              </w:rPr>
              <w:t xml:space="preserve">Regional University Centres </w:t>
            </w:r>
            <w:r w:rsidR="00C3162E">
              <w:rPr>
                <w:sz w:val="22"/>
                <w:szCs w:val="22"/>
              </w:rPr>
              <w:tab/>
            </w:r>
            <w:r>
              <w:rPr>
                <w:sz w:val="22"/>
                <w:szCs w:val="22"/>
              </w:rPr>
              <w:t>$18.55m</w:t>
            </w:r>
          </w:p>
          <w:p w14:paraId="68D0D326" w14:textId="5B8A1BAE" w:rsidR="00622E80" w:rsidRDefault="007D2896" w:rsidP="00B32E02">
            <w:pPr>
              <w:pStyle w:val="ListParagraph"/>
              <w:numPr>
                <w:ilvl w:val="0"/>
                <w:numId w:val="7"/>
              </w:numPr>
              <w:spacing w:before="0" w:after="0" w:line="240" w:lineRule="auto"/>
              <w:ind w:left="455"/>
              <w:rPr>
                <w:i/>
                <w:sz w:val="22"/>
                <w:szCs w:val="22"/>
              </w:rPr>
            </w:pPr>
            <w:r w:rsidRPr="00F65CD5">
              <w:rPr>
                <w:sz w:val="22"/>
                <w:szCs w:val="22"/>
              </w:rPr>
              <w:t xml:space="preserve">Rural and </w:t>
            </w:r>
            <w:r w:rsidR="005C01C2" w:rsidRPr="006D4A7D">
              <w:rPr>
                <w:sz w:val="22"/>
                <w:szCs w:val="22"/>
              </w:rPr>
              <w:t>R</w:t>
            </w:r>
            <w:r w:rsidRPr="006D4A7D">
              <w:rPr>
                <w:sz w:val="22"/>
                <w:szCs w:val="22"/>
              </w:rPr>
              <w:t xml:space="preserve">egional </w:t>
            </w:r>
            <w:r w:rsidR="005C01C2" w:rsidRPr="006D4A7D">
              <w:rPr>
                <w:sz w:val="22"/>
                <w:szCs w:val="22"/>
              </w:rPr>
              <w:t>E</w:t>
            </w:r>
            <w:r w:rsidRPr="006D4A7D">
              <w:rPr>
                <w:sz w:val="22"/>
                <w:szCs w:val="22"/>
              </w:rPr>
              <w:t xml:space="preserve">nterprise </w:t>
            </w:r>
            <w:r w:rsidR="005C01C2" w:rsidRPr="006D4A7D">
              <w:rPr>
                <w:sz w:val="22"/>
                <w:szCs w:val="22"/>
              </w:rPr>
              <w:t>S</w:t>
            </w:r>
            <w:r w:rsidRPr="00F65CD5">
              <w:rPr>
                <w:sz w:val="22"/>
                <w:szCs w:val="22"/>
              </w:rPr>
              <w:t>cholarships</w:t>
            </w:r>
            <w:r w:rsidR="00C3162E">
              <w:rPr>
                <w:i/>
                <w:sz w:val="22"/>
                <w:szCs w:val="22"/>
              </w:rPr>
              <w:t xml:space="preserve"> </w:t>
            </w:r>
          </w:p>
          <w:p w14:paraId="2DE2CB77" w14:textId="316AC9EA" w:rsidR="007D2896" w:rsidRPr="00B32E02" w:rsidRDefault="00C3162E" w:rsidP="00B32E02">
            <w:pPr>
              <w:pStyle w:val="ListParagraph"/>
              <w:spacing w:before="0" w:after="0" w:line="240" w:lineRule="auto"/>
              <w:ind w:left="455"/>
              <w:rPr>
                <w:i/>
                <w:sz w:val="22"/>
                <w:szCs w:val="22"/>
              </w:rPr>
            </w:pPr>
            <w:r>
              <w:rPr>
                <w:i/>
                <w:sz w:val="22"/>
                <w:szCs w:val="22"/>
              </w:rPr>
              <w:t>(n</w:t>
            </w:r>
            <w:r w:rsidRPr="009E6145">
              <w:rPr>
                <w:i/>
                <w:sz w:val="22"/>
                <w:szCs w:val="22"/>
              </w:rPr>
              <w:t xml:space="preserve">ot included in </w:t>
            </w:r>
            <w:r>
              <w:rPr>
                <w:i/>
                <w:sz w:val="22"/>
                <w:szCs w:val="22"/>
              </w:rPr>
              <w:t>calculation</w:t>
            </w:r>
            <w:r w:rsidR="007D2896" w:rsidRPr="00B32E02">
              <w:rPr>
                <w:i/>
                <w:sz w:val="22"/>
                <w:szCs w:val="22"/>
              </w:rPr>
              <w:t>)</w:t>
            </w:r>
          </w:p>
        </w:tc>
      </w:tr>
      <w:tr w:rsidR="007D2896" w14:paraId="75D3BE94" w14:textId="77777777" w:rsidTr="00B32E02">
        <w:tc>
          <w:tcPr>
            <w:tcW w:w="2405" w:type="dxa"/>
          </w:tcPr>
          <w:p w14:paraId="6C3F9B51" w14:textId="77777777" w:rsidR="007D2896" w:rsidRPr="0022047A" w:rsidRDefault="007D2896" w:rsidP="006202FE">
            <w:r w:rsidRPr="0022047A">
              <w:t>Remote</w:t>
            </w:r>
          </w:p>
        </w:tc>
        <w:tc>
          <w:tcPr>
            <w:tcW w:w="2268" w:type="dxa"/>
          </w:tcPr>
          <w:p w14:paraId="5F365F25" w14:textId="77777777" w:rsidR="007D2896" w:rsidRPr="0022047A" w:rsidRDefault="007D2896" w:rsidP="006202FE">
            <w:pPr>
              <w:jc w:val="right"/>
            </w:pPr>
            <w:r>
              <w:t>$5,000</w:t>
            </w:r>
          </w:p>
        </w:tc>
        <w:tc>
          <w:tcPr>
            <w:tcW w:w="5245" w:type="dxa"/>
          </w:tcPr>
          <w:p w14:paraId="43ECFDDC" w14:textId="6511B9E5" w:rsidR="007D2896" w:rsidRPr="000D57C8" w:rsidRDefault="007D2896" w:rsidP="00B32E02">
            <w:pPr>
              <w:pStyle w:val="ListParagraph"/>
              <w:numPr>
                <w:ilvl w:val="0"/>
                <w:numId w:val="4"/>
              </w:numPr>
              <w:spacing w:before="0" w:after="0" w:line="240" w:lineRule="auto"/>
              <w:ind w:left="455"/>
              <w:rPr>
                <w:sz w:val="22"/>
                <w:szCs w:val="22"/>
              </w:rPr>
            </w:pPr>
            <w:r w:rsidRPr="000D57C8">
              <w:rPr>
                <w:sz w:val="22"/>
                <w:szCs w:val="22"/>
              </w:rPr>
              <w:t xml:space="preserve">Tertiary Access Payment </w:t>
            </w:r>
            <w:r w:rsidR="00C3162E">
              <w:rPr>
                <w:sz w:val="22"/>
                <w:szCs w:val="22"/>
              </w:rPr>
              <w:tab/>
            </w:r>
            <w:r w:rsidR="00C3162E">
              <w:rPr>
                <w:sz w:val="22"/>
                <w:szCs w:val="22"/>
              </w:rPr>
              <w:tab/>
            </w:r>
            <w:r>
              <w:rPr>
                <w:sz w:val="22"/>
                <w:szCs w:val="22"/>
              </w:rPr>
              <w:t>$</w:t>
            </w:r>
            <w:r w:rsidRPr="000D57C8">
              <w:rPr>
                <w:sz w:val="22"/>
                <w:szCs w:val="22"/>
              </w:rPr>
              <w:t>40.8m</w:t>
            </w:r>
          </w:p>
        </w:tc>
      </w:tr>
      <w:tr w:rsidR="00622E80" w14:paraId="43A4B98E" w14:textId="77777777" w:rsidTr="006202FE">
        <w:tc>
          <w:tcPr>
            <w:tcW w:w="2405" w:type="dxa"/>
          </w:tcPr>
          <w:p w14:paraId="276EF885" w14:textId="77777777" w:rsidR="00622E80" w:rsidRPr="0022047A" w:rsidRDefault="00622E80" w:rsidP="00622E80">
            <w:r w:rsidRPr="0022047A">
              <w:t>Non-English Speaking Background (NESB)</w:t>
            </w:r>
          </w:p>
        </w:tc>
        <w:tc>
          <w:tcPr>
            <w:tcW w:w="2268" w:type="dxa"/>
          </w:tcPr>
          <w:p w14:paraId="6740D451" w14:textId="77777777" w:rsidR="00622E80" w:rsidRPr="0022047A" w:rsidRDefault="00622E80" w:rsidP="00622E80">
            <w:pPr>
              <w:jc w:val="right"/>
            </w:pPr>
            <w:r>
              <w:t>$0</w:t>
            </w:r>
          </w:p>
        </w:tc>
        <w:tc>
          <w:tcPr>
            <w:tcW w:w="5245" w:type="dxa"/>
          </w:tcPr>
          <w:p w14:paraId="3D1E04A3" w14:textId="77777777" w:rsidR="00622E80" w:rsidRPr="00736742" w:rsidRDefault="00622E80" w:rsidP="00622E80">
            <w:pPr>
              <w:pStyle w:val="ListParagraph"/>
              <w:spacing w:before="0" w:after="0" w:line="240" w:lineRule="auto"/>
              <w:ind w:left="455"/>
              <w:rPr>
                <w:sz w:val="22"/>
                <w:szCs w:val="22"/>
              </w:rPr>
            </w:pPr>
          </w:p>
        </w:tc>
      </w:tr>
    </w:tbl>
    <w:p w14:paraId="0EA8C7B3" w14:textId="0569C08B" w:rsidR="00196471" w:rsidRDefault="00196471">
      <w:pPr>
        <w:rPr>
          <w:sz w:val="20"/>
          <w:szCs w:val="20"/>
        </w:rPr>
      </w:pPr>
    </w:p>
    <w:p w14:paraId="0262F672" w14:textId="58699CDE" w:rsidR="00C51456" w:rsidRDefault="00C51456" w:rsidP="00C51456">
      <w:pPr>
        <w:pStyle w:val="Heading1"/>
        <w:rPr>
          <w:lang w:val="en-AU"/>
        </w:rPr>
      </w:pPr>
      <w:r>
        <w:rPr>
          <w:lang w:val="en-AU"/>
        </w:rPr>
        <w:t>APPENDIX B</w:t>
      </w:r>
    </w:p>
    <w:p w14:paraId="450C4294" w14:textId="77777777" w:rsidR="00C51456" w:rsidRDefault="00C51456">
      <w:pPr>
        <w:rPr>
          <w:sz w:val="20"/>
          <w:szCs w:val="20"/>
        </w:rPr>
      </w:pPr>
    </w:p>
    <w:tbl>
      <w:tblPr>
        <w:tblStyle w:val="TableGrid"/>
        <w:tblW w:w="0" w:type="auto"/>
        <w:tblLook w:val="04A0" w:firstRow="1" w:lastRow="0" w:firstColumn="1" w:lastColumn="0" w:noHBand="0" w:noVBand="1"/>
      </w:tblPr>
      <w:tblGrid>
        <w:gridCol w:w="4505"/>
        <w:gridCol w:w="4505"/>
      </w:tblGrid>
      <w:tr w:rsidR="00EF7D86" w:rsidRPr="007000EE" w14:paraId="60CD39C8" w14:textId="77777777" w:rsidTr="006202FE">
        <w:tc>
          <w:tcPr>
            <w:tcW w:w="4505" w:type="dxa"/>
            <w:shd w:val="clear" w:color="auto" w:fill="1F4E79" w:themeFill="accent5" w:themeFillShade="80"/>
          </w:tcPr>
          <w:p w14:paraId="7E54F6CB" w14:textId="52E99634" w:rsidR="00EF7D86" w:rsidRPr="00341556" w:rsidRDefault="00EF7D86" w:rsidP="006202FE">
            <w:pPr>
              <w:rPr>
                <w:rFonts w:cstheme="minorHAnsi"/>
                <w:color w:val="FFFFFF" w:themeColor="background1"/>
              </w:rPr>
            </w:pPr>
            <w:r w:rsidRPr="00EF7D86">
              <w:rPr>
                <w:rFonts w:cstheme="minorHAnsi"/>
                <w:color w:val="FFFFFF" w:themeColor="background1"/>
              </w:rPr>
              <w:t>Recorded amendment to Other Grants Guidelines (Education) 2012</w:t>
            </w:r>
          </w:p>
        </w:tc>
        <w:tc>
          <w:tcPr>
            <w:tcW w:w="4505" w:type="dxa"/>
            <w:shd w:val="clear" w:color="auto" w:fill="1F4E79" w:themeFill="accent5" w:themeFillShade="80"/>
          </w:tcPr>
          <w:p w14:paraId="1C8CCE26" w14:textId="545474F1" w:rsidR="00EF7D86" w:rsidRPr="00341556" w:rsidRDefault="00EF7D86" w:rsidP="006202FE">
            <w:pPr>
              <w:jc w:val="right"/>
              <w:rPr>
                <w:rFonts w:cstheme="minorHAnsi"/>
                <w:color w:val="FFFFFF" w:themeColor="background1"/>
              </w:rPr>
            </w:pPr>
            <w:r w:rsidRPr="00EF7D86">
              <w:rPr>
                <w:rFonts w:cstheme="minorHAnsi"/>
                <w:color w:val="FFFFFF" w:themeColor="background1"/>
              </w:rPr>
              <w:t>Specific allocated funding beyond indexation from Higher Education Support Act (2003) for Students with Disability</w:t>
            </w:r>
          </w:p>
        </w:tc>
      </w:tr>
      <w:tr w:rsidR="00EF7D86" w:rsidRPr="007000EE" w14:paraId="0AE15FF4" w14:textId="77777777" w:rsidTr="00EF7D86">
        <w:tc>
          <w:tcPr>
            <w:tcW w:w="4505" w:type="dxa"/>
          </w:tcPr>
          <w:p w14:paraId="3C2E8D6A" w14:textId="261D638C" w:rsidR="00EF7D86" w:rsidRPr="00022DDD" w:rsidRDefault="00EF7D86" w:rsidP="00EF7D86">
            <w:pPr>
              <w:rPr>
                <w:rFonts w:cstheme="minorHAnsi"/>
              </w:rPr>
            </w:pPr>
            <w:r w:rsidRPr="00D33DA5">
              <w:t>October 2012</w:t>
            </w:r>
          </w:p>
        </w:tc>
        <w:tc>
          <w:tcPr>
            <w:tcW w:w="4505" w:type="dxa"/>
          </w:tcPr>
          <w:p w14:paraId="60F3FA97" w14:textId="2F934BD9" w:rsidR="00EF7D86" w:rsidRPr="00022DDD" w:rsidRDefault="00EF7D86" w:rsidP="00EF7D86">
            <w:pPr>
              <w:jc w:val="right"/>
              <w:rPr>
                <w:rFonts w:cstheme="minorHAnsi"/>
              </w:rPr>
            </w:pPr>
            <w:r w:rsidRPr="00DE6DDA">
              <w:t>0%</w:t>
            </w:r>
          </w:p>
        </w:tc>
      </w:tr>
      <w:tr w:rsidR="00EF7D86" w:rsidRPr="007000EE" w14:paraId="6ED14F30" w14:textId="77777777" w:rsidTr="00EF7D86">
        <w:tc>
          <w:tcPr>
            <w:tcW w:w="4505" w:type="dxa"/>
          </w:tcPr>
          <w:p w14:paraId="032AD91A" w14:textId="152BA330" w:rsidR="00EF7D86" w:rsidRPr="00022DDD" w:rsidRDefault="00EF7D86" w:rsidP="00EF7D86">
            <w:pPr>
              <w:rPr>
                <w:rFonts w:cstheme="minorHAnsi"/>
              </w:rPr>
            </w:pPr>
            <w:r w:rsidRPr="00D33DA5">
              <w:t>August 2013</w:t>
            </w:r>
          </w:p>
        </w:tc>
        <w:tc>
          <w:tcPr>
            <w:tcW w:w="4505" w:type="dxa"/>
          </w:tcPr>
          <w:p w14:paraId="1DD77C89" w14:textId="43AEEBC3" w:rsidR="00EF7D86" w:rsidRPr="00022DDD" w:rsidRDefault="00EF7D86" w:rsidP="00EF7D86">
            <w:pPr>
              <w:jc w:val="right"/>
              <w:rPr>
                <w:rFonts w:cstheme="minorHAnsi"/>
              </w:rPr>
            </w:pPr>
            <w:r w:rsidRPr="00DE6DDA">
              <w:t>0%</w:t>
            </w:r>
          </w:p>
        </w:tc>
      </w:tr>
      <w:tr w:rsidR="00EF7D86" w:rsidRPr="007000EE" w14:paraId="48E6E9B4" w14:textId="77777777" w:rsidTr="00EF7D86">
        <w:tc>
          <w:tcPr>
            <w:tcW w:w="4505" w:type="dxa"/>
          </w:tcPr>
          <w:p w14:paraId="6ED7D6DA" w14:textId="5A70FF72" w:rsidR="00EF7D86" w:rsidRPr="00022DDD" w:rsidRDefault="00EF7D86" w:rsidP="00EF7D86">
            <w:pPr>
              <w:rPr>
                <w:rFonts w:cstheme="minorHAnsi"/>
              </w:rPr>
            </w:pPr>
            <w:r w:rsidRPr="00D33DA5">
              <w:t>November 2014</w:t>
            </w:r>
          </w:p>
        </w:tc>
        <w:tc>
          <w:tcPr>
            <w:tcW w:w="4505" w:type="dxa"/>
          </w:tcPr>
          <w:p w14:paraId="695A511E" w14:textId="53C5FF55" w:rsidR="00EF7D86" w:rsidRPr="00022DDD" w:rsidRDefault="00EF7D86" w:rsidP="00EF7D86">
            <w:pPr>
              <w:jc w:val="right"/>
              <w:rPr>
                <w:rFonts w:cstheme="minorHAnsi"/>
              </w:rPr>
            </w:pPr>
            <w:r w:rsidRPr="00DE6DDA">
              <w:t>0%</w:t>
            </w:r>
          </w:p>
        </w:tc>
      </w:tr>
      <w:tr w:rsidR="00EF7D86" w:rsidRPr="007000EE" w14:paraId="1308219F" w14:textId="77777777" w:rsidTr="00EF7D86">
        <w:tc>
          <w:tcPr>
            <w:tcW w:w="4505" w:type="dxa"/>
          </w:tcPr>
          <w:p w14:paraId="5DA07741" w14:textId="1582C3C3" w:rsidR="00EF7D86" w:rsidRPr="00022DDD" w:rsidRDefault="00EF7D86" w:rsidP="00EF7D86">
            <w:pPr>
              <w:rPr>
                <w:rFonts w:cstheme="minorHAnsi"/>
              </w:rPr>
            </w:pPr>
            <w:r w:rsidRPr="00D33DA5">
              <w:t>October 2019</w:t>
            </w:r>
          </w:p>
        </w:tc>
        <w:tc>
          <w:tcPr>
            <w:tcW w:w="4505" w:type="dxa"/>
          </w:tcPr>
          <w:p w14:paraId="700BE2C9" w14:textId="755BCEE8" w:rsidR="00EF7D86" w:rsidRPr="00022DDD" w:rsidRDefault="00EF7D86" w:rsidP="00EF7D86">
            <w:pPr>
              <w:jc w:val="right"/>
              <w:rPr>
                <w:rFonts w:cstheme="minorHAnsi"/>
              </w:rPr>
            </w:pPr>
            <w:r w:rsidRPr="00DE6DDA">
              <w:t>0%</w:t>
            </w:r>
          </w:p>
        </w:tc>
      </w:tr>
      <w:tr w:rsidR="00EF7D86" w:rsidRPr="007000EE" w14:paraId="691F31D7" w14:textId="77777777" w:rsidTr="00EF7D86">
        <w:tc>
          <w:tcPr>
            <w:tcW w:w="4505" w:type="dxa"/>
          </w:tcPr>
          <w:p w14:paraId="39FE9A1E" w14:textId="20F47E73" w:rsidR="00EF7D86" w:rsidRPr="00022DDD" w:rsidRDefault="00EF7D86" w:rsidP="00EF7D86">
            <w:pPr>
              <w:rPr>
                <w:rFonts w:cstheme="minorHAnsi"/>
              </w:rPr>
            </w:pPr>
            <w:r w:rsidRPr="00D33DA5">
              <w:t>December 2019</w:t>
            </w:r>
          </w:p>
        </w:tc>
        <w:tc>
          <w:tcPr>
            <w:tcW w:w="4505" w:type="dxa"/>
          </w:tcPr>
          <w:p w14:paraId="776B4411" w14:textId="31C4CCE6" w:rsidR="00EF7D86" w:rsidRPr="00022DDD" w:rsidRDefault="00EF7D86" w:rsidP="00EF7D86">
            <w:pPr>
              <w:jc w:val="right"/>
              <w:rPr>
                <w:rFonts w:cstheme="minorHAnsi"/>
              </w:rPr>
            </w:pPr>
            <w:r w:rsidRPr="00DE6DDA">
              <w:t>0%</w:t>
            </w:r>
          </w:p>
        </w:tc>
      </w:tr>
    </w:tbl>
    <w:p w14:paraId="5F7422D9" w14:textId="565D38FF" w:rsidR="00C51456" w:rsidRDefault="00C51456">
      <w:pPr>
        <w:rPr>
          <w:sz w:val="20"/>
          <w:szCs w:val="20"/>
        </w:rPr>
      </w:pPr>
    </w:p>
    <w:p w14:paraId="51608180" w14:textId="77777777" w:rsidR="00EF7D86" w:rsidRDefault="00EF7D86">
      <w:pPr>
        <w:rPr>
          <w:sz w:val="20"/>
          <w:szCs w:val="20"/>
        </w:rPr>
      </w:pPr>
    </w:p>
    <w:p w14:paraId="4DE14060" w14:textId="34604401" w:rsidR="005D0D79" w:rsidRDefault="005D0D79">
      <w:pPr>
        <w:rPr>
          <w:sz w:val="20"/>
          <w:szCs w:val="20"/>
        </w:rPr>
      </w:pPr>
    </w:p>
    <w:p w14:paraId="78661B4C" w14:textId="77777777" w:rsidR="00EF7D86" w:rsidRDefault="00EF7D86">
      <w:pPr>
        <w:rPr>
          <w:rFonts w:eastAsiaTheme="minorEastAsia"/>
          <w:b/>
          <w:bCs/>
          <w:caps/>
          <w:color w:val="FFFFFF" w:themeColor="background1"/>
          <w:spacing w:val="15"/>
          <w:sz w:val="22"/>
          <w:szCs w:val="22"/>
        </w:rPr>
      </w:pPr>
      <w:r>
        <w:br w:type="page"/>
      </w:r>
    </w:p>
    <w:p w14:paraId="3B2A2BC3" w14:textId="01CEDFA3" w:rsidR="00D875CA" w:rsidRPr="00264DC7" w:rsidRDefault="00264DC7" w:rsidP="00264DC7">
      <w:pPr>
        <w:pStyle w:val="Heading1"/>
        <w:rPr>
          <w:lang w:val="en-AU"/>
        </w:rPr>
      </w:pPr>
      <w:r>
        <w:rPr>
          <w:lang w:val="en-AU"/>
        </w:rPr>
        <w:lastRenderedPageBreak/>
        <w:t>REFERENCES</w:t>
      </w:r>
    </w:p>
    <w:sectPr w:rsidR="00D875CA" w:rsidRPr="00264DC7" w:rsidSect="000638B2">
      <w:footerReference w:type="even" r:id="rId13"/>
      <w:footerReference w:type="default" r:id="rId14"/>
      <w:pgSz w:w="11900" w:h="16840"/>
      <w:pgMar w:top="1440" w:right="12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E1B0" w14:textId="77777777" w:rsidR="0075276D" w:rsidRDefault="0075276D" w:rsidP="006F2388">
      <w:r>
        <w:separator/>
      </w:r>
    </w:p>
  </w:endnote>
  <w:endnote w:type="continuationSeparator" w:id="0">
    <w:p w14:paraId="46369654" w14:textId="77777777" w:rsidR="0075276D" w:rsidRDefault="0075276D" w:rsidP="006F2388">
      <w:r>
        <w:continuationSeparator/>
      </w:r>
    </w:p>
  </w:endnote>
  <w:endnote w:id="1">
    <w:p w14:paraId="2FDAAF4A" w14:textId="6ADC0497" w:rsidR="001953AF" w:rsidRPr="001953AF" w:rsidRDefault="006F2388" w:rsidP="00264DC7">
      <w:pPr>
        <w:pStyle w:val="NormalWeb"/>
        <w:spacing w:before="0" w:beforeAutospacing="0" w:after="0" w:afterAutospacing="0"/>
        <w:rPr>
          <w:rFonts w:asciiTheme="minorHAnsi" w:hAnsiTheme="minorHAnsi" w:cstheme="minorHAnsi"/>
          <w:sz w:val="20"/>
          <w:szCs w:val="20"/>
        </w:rPr>
      </w:pPr>
      <w:r w:rsidRPr="00264DC7">
        <w:rPr>
          <w:rStyle w:val="EndnoteReference"/>
          <w:rFonts w:asciiTheme="minorHAnsi" w:hAnsiTheme="minorHAnsi" w:cstheme="minorHAnsi"/>
          <w:sz w:val="20"/>
          <w:szCs w:val="20"/>
        </w:rPr>
        <w:endnoteRef/>
      </w:r>
      <w:r w:rsidRPr="00264DC7">
        <w:rPr>
          <w:rFonts w:asciiTheme="minorHAnsi" w:hAnsiTheme="minorHAnsi" w:cstheme="minorHAnsi"/>
          <w:sz w:val="20"/>
          <w:szCs w:val="20"/>
        </w:rPr>
        <w:t xml:space="preserve"> </w:t>
      </w:r>
      <w:r w:rsidR="001953AF" w:rsidRPr="00264DC7">
        <w:rPr>
          <w:rFonts w:asciiTheme="minorHAnsi" w:hAnsiTheme="minorHAnsi" w:cstheme="minorHAnsi"/>
          <w:sz w:val="20"/>
          <w:szCs w:val="20"/>
        </w:rPr>
        <w:t xml:space="preserve">Higher Education Funding in Australia, Department of Education and Training, Canberra 2015. </w:t>
      </w:r>
      <w:r w:rsidR="001953AF" w:rsidRPr="001953AF">
        <w:rPr>
          <w:rFonts w:asciiTheme="minorHAnsi" w:hAnsiTheme="minorHAnsi" w:cstheme="minorHAnsi"/>
          <w:color w:val="0260BF"/>
          <w:sz w:val="20"/>
          <w:szCs w:val="20"/>
        </w:rPr>
        <w:t xml:space="preserve">https://docs.education.gov.au/system/files/doc/other/higher_education_in_australia_-_a_review_of_reviews.pdf </w:t>
      </w:r>
    </w:p>
    <w:p w14:paraId="398D3D25" w14:textId="73836B84" w:rsidR="006F2388" w:rsidRPr="00264DC7" w:rsidRDefault="006F2388" w:rsidP="00264DC7">
      <w:pPr>
        <w:pStyle w:val="EndnoteText"/>
        <w:rPr>
          <w:rFonts w:cstheme="minorHAnsi"/>
        </w:rPr>
      </w:pPr>
    </w:p>
  </w:endnote>
  <w:endnote w:id="2">
    <w:p w14:paraId="39C27E66" w14:textId="10F32188" w:rsidR="006F2388" w:rsidRDefault="006F2388" w:rsidP="00264DC7">
      <w:pPr>
        <w:pStyle w:val="NormalWeb"/>
        <w:spacing w:before="0" w:beforeAutospacing="0" w:after="0" w:afterAutospacing="0"/>
        <w:rPr>
          <w:rFonts w:asciiTheme="minorHAnsi" w:hAnsiTheme="minorHAnsi" w:cstheme="minorHAnsi"/>
          <w:color w:val="0260BF"/>
          <w:sz w:val="20"/>
          <w:szCs w:val="20"/>
        </w:rPr>
      </w:pPr>
      <w:r w:rsidRPr="00264DC7">
        <w:rPr>
          <w:rStyle w:val="EndnoteReference"/>
          <w:rFonts w:asciiTheme="minorHAnsi" w:hAnsiTheme="minorHAnsi" w:cstheme="minorHAnsi"/>
          <w:sz w:val="20"/>
          <w:szCs w:val="20"/>
        </w:rPr>
        <w:endnoteRef/>
      </w:r>
      <w:r w:rsidRPr="00264DC7">
        <w:rPr>
          <w:rFonts w:asciiTheme="minorHAnsi" w:hAnsiTheme="minorHAnsi" w:cstheme="minorHAnsi"/>
          <w:sz w:val="20"/>
          <w:szCs w:val="20"/>
        </w:rPr>
        <w:t xml:space="preserve"> </w:t>
      </w:r>
      <w:r w:rsidR="001953AF" w:rsidRPr="00264DC7">
        <w:rPr>
          <w:rFonts w:asciiTheme="minorHAnsi" w:hAnsiTheme="minorHAnsi" w:cstheme="minorHAnsi"/>
          <w:sz w:val="20"/>
          <w:szCs w:val="20"/>
        </w:rPr>
        <w:t xml:space="preserve">Wellings, P., Black, R., Craven, G., Freshwater, D., &amp; Harding, S. (2019). </w:t>
      </w:r>
      <w:r w:rsidR="001953AF" w:rsidRPr="00264DC7">
        <w:rPr>
          <w:rFonts w:asciiTheme="minorHAnsi" w:hAnsiTheme="minorHAnsi" w:cstheme="minorHAnsi"/>
          <w:i/>
          <w:iCs/>
          <w:sz w:val="20"/>
          <w:szCs w:val="20"/>
        </w:rPr>
        <w:t>PERFORMANCE-BASED FUNDING FOR THE COMMONWEALTH GRANT SCHEME Report for the Minister for Education – June 2019</w:t>
      </w:r>
      <w:r w:rsidR="001953AF" w:rsidRPr="00264DC7">
        <w:rPr>
          <w:rFonts w:asciiTheme="minorHAnsi" w:hAnsiTheme="minorHAnsi" w:cstheme="minorHAnsi"/>
          <w:sz w:val="20"/>
          <w:szCs w:val="20"/>
        </w:rPr>
        <w:t xml:space="preserve">. Department of Education, Skills and Employment. Retrieved from </w:t>
      </w:r>
      <w:r w:rsidR="001953AF" w:rsidRPr="00264DC7">
        <w:rPr>
          <w:rFonts w:asciiTheme="minorHAnsi" w:hAnsiTheme="minorHAnsi" w:cstheme="minorHAnsi"/>
          <w:color w:val="0260BF"/>
          <w:sz w:val="20"/>
          <w:szCs w:val="20"/>
        </w:rPr>
        <w:t xml:space="preserve">https://docs.education.gov.au/system/files/doc/other/ed19- 0134_-_he-_performance-based_funding_review_acc.pdf </w:t>
      </w:r>
    </w:p>
    <w:p w14:paraId="5A5A15A1" w14:textId="77777777" w:rsidR="00264DC7" w:rsidRPr="00264DC7" w:rsidRDefault="00264DC7" w:rsidP="00264DC7">
      <w:pPr>
        <w:pStyle w:val="NormalWeb"/>
        <w:spacing w:before="0" w:beforeAutospacing="0" w:after="0" w:afterAutospacing="0"/>
        <w:rPr>
          <w:rFonts w:asciiTheme="minorHAnsi" w:hAnsiTheme="minorHAnsi" w:cstheme="minorHAnsi"/>
          <w:sz w:val="20"/>
          <w:szCs w:val="20"/>
        </w:rPr>
      </w:pPr>
    </w:p>
  </w:endnote>
  <w:endnote w:id="3">
    <w:p w14:paraId="4F8854FA" w14:textId="77777777" w:rsidR="001953AF" w:rsidRPr="00264DC7" w:rsidRDefault="00147F00" w:rsidP="00264DC7">
      <w:pPr>
        <w:pStyle w:val="NormalWeb"/>
        <w:spacing w:before="0" w:beforeAutospacing="0" w:after="0" w:afterAutospacing="0"/>
        <w:rPr>
          <w:rFonts w:asciiTheme="minorHAnsi" w:hAnsiTheme="minorHAnsi" w:cstheme="minorHAnsi"/>
          <w:sz w:val="20"/>
          <w:szCs w:val="20"/>
        </w:rPr>
      </w:pPr>
      <w:r w:rsidRPr="00264DC7">
        <w:rPr>
          <w:rStyle w:val="EndnoteReference"/>
          <w:rFonts w:asciiTheme="minorHAnsi" w:hAnsiTheme="minorHAnsi" w:cstheme="minorHAnsi"/>
          <w:sz w:val="20"/>
          <w:szCs w:val="20"/>
        </w:rPr>
        <w:endnoteRef/>
      </w:r>
      <w:r w:rsidRPr="00264DC7">
        <w:rPr>
          <w:rFonts w:asciiTheme="minorHAnsi" w:hAnsiTheme="minorHAnsi" w:cstheme="minorHAnsi"/>
          <w:sz w:val="20"/>
          <w:szCs w:val="20"/>
        </w:rPr>
        <w:t xml:space="preserve"> </w:t>
      </w:r>
      <w:r w:rsidR="001953AF" w:rsidRPr="00264DC7">
        <w:rPr>
          <w:rFonts w:asciiTheme="minorHAnsi" w:hAnsiTheme="minorHAnsi" w:cstheme="minorHAnsi"/>
          <w:sz w:val="20"/>
          <w:szCs w:val="20"/>
        </w:rPr>
        <w:t xml:space="preserve">UNCRPD Article 24 Education: </w:t>
      </w:r>
      <w:r w:rsidR="001953AF" w:rsidRPr="00264DC7">
        <w:rPr>
          <w:rFonts w:asciiTheme="minorHAnsi" w:hAnsiTheme="minorHAnsi" w:cstheme="minorHAnsi"/>
          <w:color w:val="0260BF"/>
          <w:sz w:val="20"/>
          <w:szCs w:val="20"/>
        </w:rPr>
        <w:t xml:space="preserve">https://www.un.org/development/desa/disabilities/convention-on-the-rights-of- persons-with-disabilities/article-24-education.html </w:t>
      </w:r>
    </w:p>
    <w:p w14:paraId="5B8FE74D" w14:textId="3C30D975" w:rsidR="00147F00" w:rsidRPr="00264DC7" w:rsidRDefault="00147F00" w:rsidP="00264DC7">
      <w:pPr>
        <w:pStyle w:val="EndnoteText"/>
        <w:rPr>
          <w:rFonts w:cstheme="minorHAnsi"/>
        </w:rPr>
      </w:pPr>
    </w:p>
  </w:endnote>
  <w:endnote w:id="4">
    <w:p w14:paraId="79610192" w14:textId="77777777" w:rsidR="001953AF" w:rsidRPr="00264DC7" w:rsidRDefault="00147F00" w:rsidP="00264DC7">
      <w:pPr>
        <w:pStyle w:val="EndnoteText"/>
        <w:rPr>
          <w:rFonts w:cstheme="minorHAnsi"/>
        </w:rPr>
      </w:pPr>
      <w:r w:rsidRPr="00264DC7">
        <w:rPr>
          <w:rStyle w:val="EndnoteReference"/>
          <w:rFonts w:cstheme="minorHAnsi"/>
        </w:rPr>
        <w:endnoteRef/>
      </w:r>
      <w:r w:rsidRPr="00264DC7">
        <w:rPr>
          <w:rFonts w:cstheme="minorHAnsi"/>
        </w:rPr>
        <w:t xml:space="preserve"> </w:t>
      </w:r>
      <w:r w:rsidR="001953AF" w:rsidRPr="00264DC7">
        <w:rPr>
          <w:rFonts w:cstheme="minorHAnsi"/>
        </w:rPr>
        <w:t xml:space="preserve">Commonwealth of Australia, 2010-2020 National Disability Strategy, 2011, p56 </w:t>
      </w:r>
      <w:hyperlink r:id="rId1" w:history="1">
        <w:r w:rsidR="001953AF" w:rsidRPr="00264DC7">
          <w:rPr>
            <w:rStyle w:val="Hyperlink"/>
            <w:rFonts w:cstheme="minorHAnsi"/>
          </w:rPr>
          <w:t>https://www.dss.gov.au/sites/default/files/documents/05_2012/national_disability_strategy_2010_2020.pdf</w:t>
        </w:r>
      </w:hyperlink>
    </w:p>
    <w:p w14:paraId="19E2233A" w14:textId="198637BA" w:rsidR="00147F00" w:rsidRPr="00264DC7" w:rsidRDefault="00147F00" w:rsidP="00264DC7">
      <w:pPr>
        <w:pStyle w:val="EndnoteText"/>
        <w:rPr>
          <w:rFonts w:cstheme="minorHAnsi"/>
        </w:rPr>
      </w:pPr>
    </w:p>
  </w:endnote>
  <w:endnote w:id="5">
    <w:p w14:paraId="293BDABA" w14:textId="4CFC964F" w:rsidR="006F2388" w:rsidRDefault="006F2388" w:rsidP="00264DC7">
      <w:pPr>
        <w:pStyle w:val="EndnoteText"/>
        <w:rPr>
          <w:rFonts w:cstheme="minorHAnsi"/>
        </w:rPr>
      </w:pPr>
      <w:r w:rsidRPr="00264DC7">
        <w:rPr>
          <w:rStyle w:val="EndnoteReference"/>
          <w:rFonts w:cstheme="minorHAnsi"/>
        </w:rPr>
        <w:endnoteRef/>
      </w:r>
      <w:r w:rsidRPr="00264DC7">
        <w:rPr>
          <w:rFonts w:cstheme="minorHAnsi"/>
        </w:rPr>
        <w:t xml:space="preserve"> </w:t>
      </w:r>
      <w:r w:rsidR="001953AF" w:rsidRPr="00264DC7">
        <w:rPr>
          <w:rFonts w:cstheme="minorHAnsi"/>
        </w:rPr>
        <w:t xml:space="preserve">Commonwealth of Australia 2019, National Regional, Rural and Remote Tertiary Education Strategy </w:t>
      </w:r>
      <w:hyperlink r:id="rId2" w:history="1">
        <w:r w:rsidR="001953AF" w:rsidRPr="00264DC7">
          <w:rPr>
            <w:rStyle w:val="Hyperlink"/>
            <w:rFonts w:cstheme="minorHAnsi"/>
          </w:rPr>
          <w:t>https://docs.education.gov.au/system/files/doc/other/national_regional_rural_and_remote_tertiary_education_strategy.pdf</w:t>
        </w:r>
      </w:hyperlink>
    </w:p>
    <w:p w14:paraId="111F1FDB" w14:textId="77777777" w:rsidR="00264DC7" w:rsidRPr="00264DC7" w:rsidRDefault="00264DC7" w:rsidP="00264DC7">
      <w:pPr>
        <w:pStyle w:val="EndnoteText"/>
        <w:rPr>
          <w:rFonts w:cstheme="minorHAnsi"/>
        </w:rPr>
      </w:pPr>
    </w:p>
  </w:endnote>
  <w:endnote w:id="6">
    <w:p w14:paraId="72D52D2E" w14:textId="301183AF" w:rsidR="00147F00" w:rsidRDefault="00147F00" w:rsidP="00264DC7">
      <w:pPr>
        <w:pStyle w:val="NormalWeb"/>
        <w:spacing w:before="0" w:beforeAutospacing="0" w:after="0" w:afterAutospacing="0"/>
        <w:rPr>
          <w:rFonts w:asciiTheme="minorHAnsi" w:hAnsiTheme="minorHAnsi" w:cstheme="minorHAnsi"/>
          <w:color w:val="0260BF"/>
          <w:sz w:val="20"/>
          <w:szCs w:val="20"/>
        </w:rPr>
      </w:pPr>
      <w:r w:rsidRPr="00264DC7">
        <w:rPr>
          <w:rStyle w:val="EndnoteReference"/>
          <w:rFonts w:asciiTheme="minorHAnsi" w:hAnsiTheme="minorHAnsi" w:cstheme="minorHAnsi"/>
          <w:sz w:val="20"/>
          <w:szCs w:val="20"/>
        </w:rPr>
        <w:endnoteRef/>
      </w:r>
      <w:r w:rsidRPr="00264DC7">
        <w:rPr>
          <w:rFonts w:asciiTheme="minorHAnsi" w:hAnsiTheme="minorHAnsi" w:cstheme="minorHAnsi"/>
          <w:sz w:val="20"/>
          <w:szCs w:val="20"/>
        </w:rPr>
        <w:t xml:space="preserve"> </w:t>
      </w:r>
      <w:r w:rsidR="001953AF" w:rsidRPr="00264DC7">
        <w:rPr>
          <w:rFonts w:asciiTheme="minorHAnsi" w:hAnsiTheme="minorHAnsi" w:cstheme="minorHAnsi"/>
          <w:sz w:val="20"/>
          <w:szCs w:val="20"/>
        </w:rPr>
        <w:t xml:space="preserve">Australia. Department of Employment, Education and Training &amp; Australia. National Board of Employment, Education and Training 1990, </w:t>
      </w:r>
      <w:r w:rsidR="001953AF" w:rsidRPr="00264DC7">
        <w:rPr>
          <w:rFonts w:asciiTheme="minorHAnsi" w:hAnsiTheme="minorHAnsi" w:cstheme="minorHAnsi"/>
          <w:i/>
          <w:iCs/>
          <w:sz w:val="20"/>
          <w:szCs w:val="20"/>
        </w:rPr>
        <w:t>A Fair chance for all : higher education that’s within everyone's reach</w:t>
      </w:r>
      <w:r w:rsidR="001953AF" w:rsidRPr="00264DC7">
        <w:rPr>
          <w:rFonts w:asciiTheme="minorHAnsi" w:hAnsiTheme="minorHAnsi" w:cstheme="minorHAnsi"/>
          <w:sz w:val="20"/>
          <w:szCs w:val="20"/>
        </w:rPr>
        <w:t xml:space="preserve">, The Department, Canberra </w:t>
      </w:r>
      <w:hyperlink r:id="rId3" w:history="1">
        <w:r w:rsidR="00264DC7" w:rsidRPr="00BA75E5">
          <w:rPr>
            <w:rStyle w:val="Hyperlink"/>
            <w:rFonts w:asciiTheme="minorHAnsi" w:hAnsiTheme="minorHAnsi" w:cstheme="minorHAnsi"/>
            <w:sz w:val="20"/>
            <w:szCs w:val="20"/>
          </w:rPr>
          <w:t>http://hdl.voced.edu.au/10707/152620</w:t>
        </w:r>
      </w:hyperlink>
      <w:r w:rsidR="001953AF" w:rsidRPr="00264DC7">
        <w:rPr>
          <w:rFonts w:asciiTheme="minorHAnsi" w:hAnsiTheme="minorHAnsi" w:cstheme="minorHAnsi"/>
          <w:color w:val="0260BF"/>
          <w:sz w:val="20"/>
          <w:szCs w:val="20"/>
        </w:rPr>
        <w:t xml:space="preserve"> </w:t>
      </w:r>
    </w:p>
    <w:p w14:paraId="49B8E6A8" w14:textId="77777777" w:rsidR="00264DC7" w:rsidRPr="00264DC7" w:rsidRDefault="00264DC7" w:rsidP="00264DC7">
      <w:pPr>
        <w:pStyle w:val="NormalWeb"/>
        <w:spacing w:before="0" w:beforeAutospacing="0" w:after="0" w:afterAutospacing="0"/>
        <w:rPr>
          <w:rFonts w:asciiTheme="minorHAnsi" w:hAnsiTheme="minorHAnsi" w:cstheme="minorHAnsi"/>
          <w:sz w:val="20"/>
          <w:szCs w:val="20"/>
        </w:rPr>
      </w:pPr>
    </w:p>
  </w:endnote>
  <w:endnote w:id="7">
    <w:p w14:paraId="1AD706A7" w14:textId="2AF5973C" w:rsidR="008D2C8F" w:rsidRDefault="008D2C8F" w:rsidP="00264DC7">
      <w:pPr>
        <w:pStyle w:val="NormalWeb"/>
        <w:spacing w:before="0" w:beforeAutospacing="0" w:after="0" w:afterAutospacing="0"/>
        <w:rPr>
          <w:rFonts w:asciiTheme="minorHAnsi" w:hAnsiTheme="minorHAnsi" w:cstheme="minorHAnsi"/>
          <w:color w:val="0260BF"/>
          <w:sz w:val="20"/>
          <w:szCs w:val="20"/>
        </w:rPr>
      </w:pPr>
      <w:r w:rsidRPr="00264DC7">
        <w:rPr>
          <w:rStyle w:val="EndnoteReference"/>
          <w:rFonts w:asciiTheme="minorHAnsi" w:hAnsiTheme="minorHAnsi" w:cstheme="minorHAnsi"/>
          <w:sz w:val="20"/>
          <w:szCs w:val="20"/>
        </w:rPr>
        <w:endnoteRef/>
      </w:r>
      <w:r w:rsidRPr="00264DC7">
        <w:rPr>
          <w:rFonts w:asciiTheme="minorHAnsi" w:hAnsiTheme="minorHAnsi" w:cstheme="minorHAnsi"/>
          <w:sz w:val="20"/>
          <w:szCs w:val="20"/>
        </w:rPr>
        <w:t xml:space="preserve"> </w:t>
      </w:r>
      <w:r w:rsidR="001953AF" w:rsidRPr="00264DC7">
        <w:rPr>
          <w:rFonts w:asciiTheme="minorHAnsi" w:hAnsiTheme="minorHAnsi" w:cstheme="minorHAnsi"/>
          <w:sz w:val="20"/>
          <w:szCs w:val="20"/>
        </w:rPr>
        <w:t xml:space="preserve">Koshy, P. (2019). Equity Student Participation in Australian Higher Education: 2013 – 2018. National Centre for Student Equity in Higher Education (NCSEHE), Perth: Curtin University </w:t>
      </w:r>
      <w:r w:rsidR="001953AF" w:rsidRPr="00264DC7">
        <w:rPr>
          <w:rFonts w:asciiTheme="minorHAnsi" w:hAnsiTheme="minorHAnsi" w:cstheme="minorHAnsi"/>
          <w:color w:val="0260BF"/>
          <w:sz w:val="20"/>
          <w:szCs w:val="20"/>
        </w:rPr>
        <w:t xml:space="preserve">http://www.ncsehe.edu.au/wp- content/uploads/2019/12/NCSEHE-Equity-Student-Briefing-Note_2013-18_Accessible_Final.pdf </w:t>
      </w:r>
    </w:p>
    <w:p w14:paraId="2AB7974A" w14:textId="77777777" w:rsidR="00264DC7" w:rsidRPr="00264DC7" w:rsidRDefault="00264DC7" w:rsidP="00264DC7">
      <w:pPr>
        <w:pStyle w:val="NormalWeb"/>
        <w:spacing w:before="0" w:beforeAutospacing="0" w:after="0" w:afterAutospacing="0"/>
        <w:rPr>
          <w:rFonts w:asciiTheme="minorHAnsi" w:hAnsiTheme="minorHAnsi" w:cstheme="minorHAnsi"/>
          <w:sz w:val="20"/>
          <w:szCs w:val="20"/>
        </w:rPr>
      </w:pPr>
    </w:p>
  </w:endnote>
  <w:endnote w:id="8">
    <w:p w14:paraId="2B1FB69E" w14:textId="77777777" w:rsidR="001953AF" w:rsidRPr="00264DC7" w:rsidRDefault="008D2C8F" w:rsidP="00264DC7">
      <w:pPr>
        <w:pStyle w:val="NormalWeb"/>
        <w:spacing w:before="0" w:beforeAutospacing="0" w:after="0" w:afterAutospacing="0"/>
        <w:rPr>
          <w:rFonts w:asciiTheme="minorHAnsi" w:hAnsiTheme="minorHAnsi" w:cstheme="minorHAnsi"/>
          <w:sz w:val="20"/>
          <w:szCs w:val="20"/>
        </w:rPr>
      </w:pPr>
      <w:r w:rsidRPr="00264DC7">
        <w:rPr>
          <w:rStyle w:val="EndnoteReference"/>
          <w:rFonts w:asciiTheme="minorHAnsi" w:hAnsiTheme="minorHAnsi" w:cstheme="minorHAnsi"/>
          <w:sz w:val="20"/>
          <w:szCs w:val="20"/>
        </w:rPr>
        <w:endnoteRef/>
      </w:r>
      <w:r w:rsidRPr="00264DC7">
        <w:rPr>
          <w:rFonts w:asciiTheme="minorHAnsi" w:hAnsiTheme="minorHAnsi" w:cstheme="minorHAnsi"/>
          <w:sz w:val="20"/>
          <w:szCs w:val="20"/>
        </w:rPr>
        <w:t xml:space="preserve"> </w:t>
      </w:r>
      <w:r w:rsidR="001953AF" w:rsidRPr="00264DC7">
        <w:rPr>
          <w:rFonts w:asciiTheme="minorHAnsi" w:hAnsiTheme="minorHAnsi" w:cstheme="minorHAnsi"/>
          <w:color w:val="0260BF"/>
          <w:sz w:val="20"/>
          <w:szCs w:val="20"/>
        </w:rPr>
        <w:t xml:space="preserve">https://www.qilt.edu.au/docs/default-source/gos-reports/2019-gos/2019-gos-national- tablesd73b8891b1e86477b58fff00006709da.xlsx?sfvrsn=ccceec3c_16 </w:t>
      </w:r>
    </w:p>
    <w:p w14:paraId="23FBF2DE" w14:textId="7AAD956D" w:rsidR="008D2C8F" w:rsidRPr="00264DC7" w:rsidRDefault="008D2C8F" w:rsidP="00264DC7">
      <w:pPr>
        <w:pStyle w:val="EndnoteText"/>
        <w:rPr>
          <w:rFonts w:cstheme="minorHAnsi"/>
        </w:rPr>
      </w:pPr>
    </w:p>
  </w:endnote>
  <w:endnote w:id="9">
    <w:p w14:paraId="1AD09C61" w14:textId="22DB88D1" w:rsidR="00264DC7" w:rsidRPr="00264DC7" w:rsidRDefault="00390FE9" w:rsidP="00264DC7">
      <w:pPr>
        <w:pStyle w:val="EndnoteText"/>
        <w:rPr>
          <w:rFonts w:cstheme="minorHAnsi"/>
        </w:rPr>
      </w:pPr>
      <w:r w:rsidRPr="00264DC7">
        <w:rPr>
          <w:rStyle w:val="EndnoteReference"/>
          <w:rFonts w:cstheme="minorHAnsi"/>
        </w:rPr>
        <w:endnoteRef/>
      </w:r>
      <w:r w:rsidRPr="00264DC7">
        <w:rPr>
          <w:rFonts w:cstheme="minorHAnsi"/>
        </w:rPr>
        <w:t xml:space="preserve"> </w:t>
      </w:r>
      <w:r w:rsidR="00264DC7" w:rsidRPr="00264DC7">
        <w:rPr>
          <w:rFonts w:cstheme="minorHAnsi"/>
        </w:rPr>
        <w:t xml:space="preserve">Performance-Based Funding for the Commonwealth Grant Scheme: Technical Note – Details of the Performance-Based Funding Model </w:t>
      </w:r>
      <w:hyperlink r:id="rId4" w:history="1">
        <w:r w:rsidR="00264DC7" w:rsidRPr="00264DC7">
          <w:rPr>
            <w:rStyle w:val="Hyperlink"/>
            <w:rFonts w:cstheme="minorHAnsi"/>
          </w:rPr>
          <w:t>https://docs-edu.govcms.gov.au/system/files/doc/other/performance-based_funding_scheme_technical_guide_final_3feb2020.pdf</w:t>
        </w:r>
      </w:hyperlink>
    </w:p>
    <w:p w14:paraId="64770F10" w14:textId="71E23EE9" w:rsidR="00390FE9" w:rsidRPr="00264DC7" w:rsidRDefault="00390FE9" w:rsidP="00264DC7">
      <w:pPr>
        <w:pStyle w:val="EndnoteText"/>
        <w:rPr>
          <w:rFonts w:cstheme="minorHAnsi"/>
        </w:rPr>
      </w:pPr>
    </w:p>
  </w:endnote>
  <w:endnote w:id="10">
    <w:p w14:paraId="26BCF77A" w14:textId="77777777" w:rsidR="00264DC7" w:rsidRPr="00264DC7" w:rsidRDefault="007F4BAF" w:rsidP="00264DC7">
      <w:pPr>
        <w:pStyle w:val="EndnoteText"/>
        <w:rPr>
          <w:rFonts w:cstheme="minorHAnsi"/>
        </w:rPr>
      </w:pPr>
      <w:r w:rsidRPr="00264DC7">
        <w:rPr>
          <w:rStyle w:val="EndnoteReference"/>
          <w:rFonts w:cstheme="minorHAnsi"/>
        </w:rPr>
        <w:endnoteRef/>
      </w:r>
      <w:r w:rsidRPr="00264DC7">
        <w:rPr>
          <w:rFonts w:cstheme="minorHAnsi"/>
        </w:rPr>
        <w:t xml:space="preserve"> </w:t>
      </w:r>
      <w:r w:rsidR="00264DC7" w:rsidRPr="00264DC7">
        <w:rPr>
          <w:rFonts w:cstheme="minorHAnsi"/>
        </w:rPr>
        <w:t xml:space="preserve">QILT 2018 Graduate Employment Survey p6 </w:t>
      </w:r>
      <w:hyperlink r:id="rId5" w:history="1">
        <w:r w:rsidR="00264DC7" w:rsidRPr="00264DC7">
          <w:rPr>
            <w:rStyle w:val="Hyperlink"/>
            <w:rFonts w:cstheme="minorHAnsi"/>
          </w:rPr>
          <w:t>https://www.qilt.edu.au/docs/default-source/default-document-library/qilt-gos-national-report-2018.pdf?sfvrsn=23f7ec3c_0</w:t>
        </w:r>
      </w:hyperlink>
    </w:p>
    <w:p w14:paraId="0357E74C" w14:textId="3A6ED2D2" w:rsidR="007F4BAF" w:rsidRDefault="007F4BAF" w:rsidP="007F4BAF">
      <w:pPr>
        <w:pStyle w:val="EndnoteText"/>
      </w:pPr>
    </w:p>
  </w:endnote>
  <w:endnote w:id="11">
    <w:p w14:paraId="7074B9E7" w14:textId="77777777" w:rsidR="00196471" w:rsidRPr="00EF7D86" w:rsidRDefault="00196471" w:rsidP="00196471">
      <w:pPr>
        <w:rPr>
          <w:sz w:val="20"/>
          <w:szCs w:val="20"/>
        </w:rPr>
      </w:pPr>
      <w:r w:rsidRPr="00EF7D86">
        <w:rPr>
          <w:rStyle w:val="EndnoteReference"/>
          <w:sz w:val="20"/>
          <w:szCs w:val="20"/>
        </w:rPr>
        <w:endnoteRef/>
      </w:r>
      <w:r w:rsidRPr="00EF7D86">
        <w:rPr>
          <w:sz w:val="20"/>
          <w:szCs w:val="20"/>
        </w:rPr>
        <w:t xml:space="preserve"> Federal Register of Legislation, Other Grant Guidelines (2012) </w:t>
      </w:r>
      <w:hyperlink r:id="rId6" w:history="1">
        <w:r w:rsidRPr="00EF7D86">
          <w:rPr>
            <w:rStyle w:val="Hyperlink"/>
            <w:sz w:val="20"/>
            <w:szCs w:val="20"/>
          </w:rPr>
          <w:t>https://www.legislation.gov.au/Series/F2012L00281</w:t>
        </w:r>
      </w:hyperlink>
    </w:p>
    <w:p w14:paraId="3925A40E" w14:textId="10C7F49C" w:rsidR="00196471" w:rsidRDefault="0019647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Roboto Condensed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685295"/>
      <w:docPartObj>
        <w:docPartGallery w:val="Page Numbers (Bottom of Page)"/>
        <w:docPartUnique/>
      </w:docPartObj>
    </w:sdtPr>
    <w:sdtEndPr>
      <w:rPr>
        <w:rStyle w:val="PageNumber"/>
      </w:rPr>
    </w:sdtEndPr>
    <w:sdtContent>
      <w:p w14:paraId="29A6047E" w14:textId="681CD559" w:rsidR="00264DC7" w:rsidRDefault="00264DC7" w:rsidP="00620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F950D" w14:textId="77777777" w:rsidR="00264DC7" w:rsidRDefault="00264DC7" w:rsidP="00264D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6358085"/>
      <w:docPartObj>
        <w:docPartGallery w:val="Page Numbers (Bottom of Page)"/>
        <w:docPartUnique/>
      </w:docPartObj>
    </w:sdtPr>
    <w:sdtEndPr>
      <w:rPr>
        <w:rStyle w:val="PageNumber"/>
      </w:rPr>
    </w:sdtEndPr>
    <w:sdtContent>
      <w:p w14:paraId="5A8625BF" w14:textId="77F83E73" w:rsidR="00264DC7" w:rsidRDefault="00264DC7" w:rsidP="00620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5A24">
          <w:rPr>
            <w:rStyle w:val="PageNumber"/>
            <w:noProof/>
          </w:rPr>
          <w:t>2</w:t>
        </w:r>
        <w:r>
          <w:rPr>
            <w:rStyle w:val="PageNumber"/>
          </w:rPr>
          <w:fldChar w:fldCharType="end"/>
        </w:r>
      </w:p>
    </w:sdtContent>
  </w:sdt>
  <w:p w14:paraId="7526548A" w14:textId="77777777" w:rsidR="00264DC7" w:rsidRDefault="00264DC7" w:rsidP="00264D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8566" w14:textId="77777777" w:rsidR="0075276D" w:rsidRDefault="0075276D" w:rsidP="006F2388">
      <w:r>
        <w:separator/>
      </w:r>
    </w:p>
  </w:footnote>
  <w:footnote w:type="continuationSeparator" w:id="0">
    <w:p w14:paraId="24284303" w14:textId="77777777" w:rsidR="0075276D" w:rsidRDefault="0075276D" w:rsidP="006F2388">
      <w:r>
        <w:continuationSeparator/>
      </w:r>
    </w:p>
  </w:footnote>
  <w:footnote w:id="1">
    <w:p w14:paraId="08EB2BED" w14:textId="53D7E8F3" w:rsidR="00EF7D86" w:rsidRPr="00EF7D86" w:rsidRDefault="00EF7D86">
      <w:pPr>
        <w:pStyle w:val="FootnoteText"/>
        <w:rPr>
          <w:lang w:val="en-AU"/>
        </w:rPr>
      </w:pPr>
      <w:r>
        <w:rPr>
          <w:rStyle w:val="FootnoteReference"/>
        </w:rPr>
        <w:footnoteRef/>
      </w:r>
      <w:r>
        <w:t xml:space="preserve"> </w:t>
      </w:r>
      <w:r>
        <w:rPr>
          <w:lang w:val="en-AU"/>
        </w:rPr>
        <w:t>See Appendix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1B68"/>
    <w:multiLevelType w:val="hybridMultilevel"/>
    <w:tmpl w:val="33F4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8774D"/>
    <w:multiLevelType w:val="hybridMultilevel"/>
    <w:tmpl w:val="011E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10EF5"/>
    <w:multiLevelType w:val="hybridMultilevel"/>
    <w:tmpl w:val="E00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A4559"/>
    <w:multiLevelType w:val="hybridMultilevel"/>
    <w:tmpl w:val="5FAA8388"/>
    <w:lvl w:ilvl="0" w:tplc="CD94357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557BC"/>
    <w:multiLevelType w:val="multilevel"/>
    <w:tmpl w:val="186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2694D"/>
    <w:multiLevelType w:val="hybridMultilevel"/>
    <w:tmpl w:val="D3BC4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8336A"/>
    <w:multiLevelType w:val="hybridMultilevel"/>
    <w:tmpl w:val="3C74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6101E"/>
    <w:multiLevelType w:val="hybridMultilevel"/>
    <w:tmpl w:val="FDD20D8E"/>
    <w:lvl w:ilvl="0" w:tplc="6EE8373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0025D"/>
    <w:multiLevelType w:val="hybridMultilevel"/>
    <w:tmpl w:val="CB3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70DEC"/>
    <w:multiLevelType w:val="hybridMultilevel"/>
    <w:tmpl w:val="9A5E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9"/>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23"/>
    <w:rsid w:val="00010743"/>
    <w:rsid w:val="00022DDD"/>
    <w:rsid w:val="000309B9"/>
    <w:rsid w:val="000600DD"/>
    <w:rsid w:val="000638B2"/>
    <w:rsid w:val="00083C60"/>
    <w:rsid w:val="000D2048"/>
    <w:rsid w:val="00134366"/>
    <w:rsid w:val="00147F00"/>
    <w:rsid w:val="00155719"/>
    <w:rsid w:val="001953AF"/>
    <w:rsid w:val="00196471"/>
    <w:rsid w:val="001B7E53"/>
    <w:rsid w:val="001C3123"/>
    <w:rsid w:val="001F72AD"/>
    <w:rsid w:val="0020505A"/>
    <w:rsid w:val="00205488"/>
    <w:rsid w:val="00264DC7"/>
    <w:rsid w:val="00286A49"/>
    <w:rsid w:val="002B4932"/>
    <w:rsid w:val="002C0323"/>
    <w:rsid w:val="002E234F"/>
    <w:rsid w:val="00334196"/>
    <w:rsid w:val="00341556"/>
    <w:rsid w:val="00356D76"/>
    <w:rsid w:val="0038475B"/>
    <w:rsid w:val="00385799"/>
    <w:rsid w:val="0038765E"/>
    <w:rsid w:val="00390738"/>
    <w:rsid w:val="00390FE9"/>
    <w:rsid w:val="0039308A"/>
    <w:rsid w:val="003C141D"/>
    <w:rsid w:val="00441F32"/>
    <w:rsid w:val="004A74C8"/>
    <w:rsid w:val="004A7DBA"/>
    <w:rsid w:val="004F6F23"/>
    <w:rsid w:val="00546281"/>
    <w:rsid w:val="00561ECB"/>
    <w:rsid w:val="00573753"/>
    <w:rsid w:val="00583A5F"/>
    <w:rsid w:val="005C01C2"/>
    <w:rsid w:val="005D0D79"/>
    <w:rsid w:val="005D2095"/>
    <w:rsid w:val="005E21BC"/>
    <w:rsid w:val="006202FE"/>
    <w:rsid w:val="00622E80"/>
    <w:rsid w:val="00624D42"/>
    <w:rsid w:val="00653B74"/>
    <w:rsid w:val="006D4A7D"/>
    <w:rsid w:val="006E153D"/>
    <w:rsid w:val="006F2388"/>
    <w:rsid w:val="007000EE"/>
    <w:rsid w:val="00711242"/>
    <w:rsid w:val="0072127F"/>
    <w:rsid w:val="00721382"/>
    <w:rsid w:val="0075276D"/>
    <w:rsid w:val="00755032"/>
    <w:rsid w:val="00785AE9"/>
    <w:rsid w:val="00787304"/>
    <w:rsid w:val="007B5180"/>
    <w:rsid w:val="007D2896"/>
    <w:rsid w:val="007F4BAF"/>
    <w:rsid w:val="008958FE"/>
    <w:rsid w:val="008B6DE8"/>
    <w:rsid w:val="008C7EC5"/>
    <w:rsid w:val="008D2C8F"/>
    <w:rsid w:val="00944F29"/>
    <w:rsid w:val="009C5C28"/>
    <w:rsid w:val="009E3EA4"/>
    <w:rsid w:val="009F57C0"/>
    <w:rsid w:val="00A03B5C"/>
    <w:rsid w:val="00A06207"/>
    <w:rsid w:val="00A1338A"/>
    <w:rsid w:val="00A249A9"/>
    <w:rsid w:val="00A27682"/>
    <w:rsid w:val="00A45FA2"/>
    <w:rsid w:val="00A55E97"/>
    <w:rsid w:val="00A61D3E"/>
    <w:rsid w:val="00AF6A99"/>
    <w:rsid w:val="00B32E02"/>
    <w:rsid w:val="00B3742B"/>
    <w:rsid w:val="00B460B1"/>
    <w:rsid w:val="00B518AB"/>
    <w:rsid w:val="00B55143"/>
    <w:rsid w:val="00BA226C"/>
    <w:rsid w:val="00BA34C0"/>
    <w:rsid w:val="00BB65FA"/>
    <w:rsid w:val="00BE545B"/>
    <w:rsid w:val="00C05A24"/>
    <w:rsid w:val="00C11904"/>
    <w:rsid w:val="00C3162E"/>
    <w:rsid w:val="00C4302C"/>
    <w:rsid w:val="00C51456"/>
    <w:rsid w:val="00CE28AC"/>
    <w:rsid w:val="00CF5183"/>
    <w:rsid w:val="00D834C4"/>
    <w:rsid w:val="00D83B8C"/>
    <w:rsid w:val="00D875CA"/>
    <w:rsid w:val="00DC4F76"/>
    <w:rsid w:val="00DD2DBA"/>
    <w:rsid w:val="00DF2AC9"/>
    <w:rsid w:val="00E0202D"/>
    <w:rsid w:val="00E72F02"/>
    <w:rsid w:val="00E9116E"/>
    <w:rsid w:val="00E96B30"/>
    <w:rsid w:val="00EB2B5F"/>
    <w:rsid w:val="00EF28BA"/>
    <w:rsid w:val="00EF7D86"/>
    <w:rsid w:val="00F10F31"/>
    <w:rsid w:val="00F65CD5"/>
    <w:rsid w:val="00FC2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A835"/>
  <w15:chartTrackingRefBased/>
  <w15:docId w15:val="{083FAC12-53E1-4D06-94AB-D86B5543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C8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eastAsiaTheme="minorEastAsia"/>
      <w:b/>
      <w:bCs/>
      <w:caps/>
      <w:color w:val="FFFFFF" w:themeColor="background1"/>
      <w:spacing w:val="15"/>
      <w:sz w:val="22"/>
      <w:szCs w:val="22"/>
      <w:lang w:val="en-GB"/>
    </w:rPr>
  </w:style>
  <w:style w:type="paragraph" w:styleId="Heading2">
    <w:name w:val="heading 2"/>
    <w:basedOn w:val="Normal"/>
    <w:next w:val="Normal"/>
    <w:link w:val="Heading2Char"/>
    <w:uiPriority w:val="9"/>
    <w:unhideWhenUsed/>
    <w:qFormat/>
    <w:rsid w:val="003341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F23"/>
    <w:rPr>
      <w:rFonts w:ascii="Times New Roman" w:hAnsi="Times New Roman" w:cs="Times New Roman"/>
      <w:sz w:val="18"/>
      <w:szCs w:val="18"/>
    </w:rPr>
  </w:style>
  <w:style w:type="paragraph" w:styleId="NormalWeb">
    <w:name w:val="Normal (Web)"/>
    <w:basedOn w:val="Normal"/>
    <w:uiPriority w:val="99"/>
    <w:unhideWhenUsed/>
    <w:rsid w:val="000309B9"/>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6F2388"/>
    <w:rPr>
      <w:sz w:val="20"/>
      <w:szCs w:val="20"/>
    </w:rPr>
  </w:style>
  <w:style w:type="character" w:customStyle="1" w:styleId="EndnoteTextChar">
    <w:name w:val="Endnote Text Char"/>
    <w:basedOn w:val="DefaultParagraphFont"/>
    <w:link w:val="EndnoteText"/>
    <w:uiPriority w:val="99"/>
    <w:semiHidden/>
    <w:rsid w:val="006F2388"/>
    <w:rPr>
      <w:sz w:val="20"/>
      <w:szCs w:val="20"/>
    </w:rPr>
  </w:style>
  <w:style w:type="character" w:styleId="EndnoteReference">
    <w:name w:val="endnote reference"/>
    <w:basedOn w:val="DefaultParagraphFont"/>
    <w:uiPriority w:val="99"/>
    <w:semiHidden/>
    <w:unhideWhenUsed/>
    <w:rsid w:val="006F2388"/>
    <w:rPr>
      <w:vertAlign w:val="superscript"/>
    </w:rPr>
  </w:style>
  <w:style w:type="character" w:customStyle="1" w:styleId="Heading1Char">
    <w:name w:val="Heading 1 Char"/>
    <w:basedOn w:val="DefaultParagraphFont"/>
    <w:link w:val="Heading1"/>
    <w:uiPriority w:val="9"/>
    <w:rsid w:val="008D2C8F"/>
    <w:rPr>
      <w:rFonts w:eastAsiaTheme="minorEastAsia"/>
      <w:b/>
      <w:bCs/>
      <w:caps/>
      <w:color w:val="FFFFFF" w:themeColor="background1"/>
      <w:spacing w:val="15"/>
      <w:sz w:val="22"/>
      <w:szCs w:val="22"/>
      <w:shd w:val="clear" w:color="auto" w:fill="4472C4" w:themeFill="accent1"/>
      <w:lang w:val="en-GB"/>
    </w:rPr>
  </w:style>
  <w:style w:type="character" w:styleId="CommentReference">
    <w:name w:val="annotation reference"/>
    <w:basedOn w:val="DefaultParagraphFont"/>
    <w:uiPriority w:val="99"/>
    <w:semiHidden/>
    <w:unhideWhenUsed/>
    <w:rsid w:val="008D2C8F"/>
    <w:rPr>
      <w:sz w:val="16"/>
      <w:szCs w:val="16"/>
    </w:rPr>
  </w:style>
  <w:style w:type="paragraph" w:styleId="CommentText">
    <w:name w:val="annotation text"/>
    <w:basedOn w:val="Normal"/>
    <w:link w:val="CommentTextChar"/>
    <w:uiPriority w:val="99"/>
    <w:semiHidden/>
    <w:unhideWhenUsed/>
    <w:rsid w:val="008D2C8F"/>
    <w:pPr>
      <w:spacing w:before="200" w:after="200"/>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8D2C8F"/>
    <w:rPr>
      <w:rFonts w:eastAsiaTheme="minorEastAsia"/>
      <w:sz w:val="20"/>
      <w:szCs w:val="20"/>
      <w:lang w:val="en-GB"/>
    </w:rPr>
  </w:style>
  <w:style w:type="table" w:styleId="TableGrid">
    <w:name w:val="Table Grid"/>
    <w:basedOn w:val="TableNormal"/>
    <w:uiPriority w:val="39"/>
    <w:rsid w:val="00334196"/>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4196"/>
    <w:pPr>
      <w:spacing w:before="200" w:after="200" w:line="276" w:lineRule="auto"/>
    </w:pPr>
    <w:rPr>
      <w:rFonts w:eastAsiaTheme="minorEastAsia"/>
      <w:b/>
      <w:bCs/>
      <w:color w:val="2F5496" w:themeColor="accent1" w:themeShade="BF"/>
      <w:sz w:val="16"/>
      <w:szCs w:val="16"/>
      <w:lang w:val="en-GB"/>
    </w:rPr>
  </w:style>
  <w:style w:type="character" w:customStyle="1" w:styleId="Heading2Char">
    <w:name w:val="Heading 2 Char"/>
    <w:basedOn w:val="DefaultParagraphFont"/>
    <w:link w:val="Heading2"/>
    <w:uiPriority w:val="9"/>
    <w:rsid w:val="0033419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34196"/>
    <w:rPr>
      <w:i/>
      <w:iCs/>
    </w:rPr>
  </w:style>
  <w:style w:type="character" w:styleId="IntenseEmphasis">
    <w:name w:val="Intense Emphasis"/>
    <w:basedOn w:val="DefaultParagraphFont"/>
    <w:uiPriority w:val="21"/>
    <w:qFormat/>
    <w:rsid w:val="00334196"/>
    <w:rPr>
      <w:i/>
      <w:iCs/>
      <w:color w:val="4472C4" w:themeColor="accent1"/>
    </w:rPr>
  </w:style>
  <w:style w:type="character" w:styleId="Strong">
    <w:name w:val="Strong"/>
    <w:basedOn w:val="DefaultParagraphFont"/>
    <w:uiPriority w:val="22"/>
    <w:qFormat/>
    <w:rsid w:val="00334196"/>
    <w:rPr>
      <w:b/>
      <w:bCs/>
    </w:rPr>
  </w:style>
  <w:style w:type="paragraph" w:styleId="ListParagraph">
    <w:name w:val="List Paragraph"/>
    <w:basedOn w:val="Normal"/>
    <w:uiPriority w:val="34"/>
    <w:qFormat/>
    <w:rsid w:val="007D2896"/>
    <w:pPr>
      <w:spacing w:before="200" w:after="200" w:line="276" w:lineRule="auto"/>
      <w:ind w:left="720"/>
      <w:contextualSpacing/>
    </w:pPr>
    <w:rPr>
      <w:rFonts w:eastAsiaTheme="minorEastAsia"/>
      <w:sz w:val="20"/>
      <w:szCs w:val="20"/>
      <w:lang w:val="en-GB"/>
    </w:rPr>
  </w:style>
  <w:style w:type="paragraph" w:styleId="FootnoteText">
    <w:name w:val="footnote text"/>
    <w:basedOn w:val="Normal"/>
    <w:link w:val="FootnoteTextChar"/>
    <w:uiPriority w:val="99"/>
    <w:semiHidden/>
    <w:unhideWhenUsed/>
    <w:rsid w:val="007D2896"/>
    <w:rPr>
      <w:rFonts w:eastAsiaTheme="minorEastAsia"/>
      <w:sz w:val="20"/>
      <w:szCs w:val="20"/>
      <w:lang w:val="en-GB"/>
    </w:rPr>
  </w:style>
  <w:style w:type="character" w:customStyle="1" w:styleId="FootnoteTextChar">
    <w:name w:val="Footnote Text Char"/>
    <w:basedOn w:val="DefaultParagraphFont"/>
    <w:link w:val="FootnoteText"/>
    <w:uiPriority w:val="99"/>
    <w:semiHidden/>
    <w:rsid w:val="007D2896"/>
    <w:rPr>
      <w:rFonts w:eastAsiaTheme="minorEastAsia"/>
      <w:sz w:val="20"/>
      <w:szCs w:val="20"/>
      <w:lang w:val="en-GB"/>
    </w:rPr>
  </w:style>
  <w:style w:type="character" w:styleId="FootnoteReference">
    <w:name w:val="footnote reference"/>
    <w:basedOn w:val="DefaultParagraphFont"/>
    <w:uiPriority w:val="99"/>
    <w:semiHidden/>
    <w:unhideWhenUsed/>
    <w:rsid w:val="007D2896"/>
    <w:rPr>
      <w:vertAlign w:val="superscript"/>
    </w:rPr>
  </w:style>
  <w:style w:type="character" w:styleId="Hyperlink">
    <w:name w:val="Hyperlink"/>
    <w:basedOn w:val="DefaultParagraphFont"/>
    <w:uiPriority w:val="99"/>
    <w:unhideWhenUsed/>
    <w:rsid w:val="001953AF"/>
    <w:rPr>
      <w:color w:val="0563C1" w:themeColor="hyperlink"/>
      <w:u w:val="single"/>
    </w:rPr>
  </w:style>
  <w:style w:type="character" w:customStyle="1" w:styleId="UnresolvedMention1">
    <w:name w:val="Unresolved Mention1"/>
    <w:basedOn w:val="DefaultParagraphFont"/>
    <w:uiPriority w:val="99"/>
    <w:semiHidden/>
    <w:unhideWhenUsed/>
    <w:rsid w:val="001953AF"/>
    <w:rPr>
      <w:color w:val="605E5C"/>
      <w:shd w:val="clear" w:color="auto" w:fill="E1DFDD"/>
    </w:rPr>
  </w:style>
  <w:style w:type="paragraph" w:styleId="Footer">
    <w:name w:val="footer"/>
    <w:basedOn w:val="Normal"/>
    <w:link w:val="FooterChar"/>
    <w:uiPriority w:val="99"/>
    <w:unhideWhenUsed/>
    <w:rsid w:val="00264DC7"/>
    <w:pPr>
      <w:tabs>
        <w:tab w:val="center" w:pos="4680"/>
        <w:tab w:val="right" w:pos="9360"/>
      </w:tabs>
    </w:pPr>
  </w:style>
  <w:style w:type="character" w:customStyle="1" w:styleId="FooterChar">
    <w:name w:val="Footer Char"/>
    <w:basedOn w:val="DefaultParagraphFont"/>
    <w:link w:val="Footer"/>
    <w:uiPriority w:val="99"/>
    <w:rsid w:val="00264DC7"/>
  </w:style>
  <w:style w:type="character" w:styleId="PageNumber">
    <w:name w:val="page number"/>
    <w:basedOn w:val="DefaultParagraphFont"/>
    <w:uiPriority w:val="99"/>
    <w:semiHidden/>
    <w:unhideWhenUsed/>
    <w:rsid w:val="00264DC7"/>
  </w:style>
  <w:style w:type="paragraph" w:styleId="CommentSubject">
    <w:name w:val="annotation subject"/>
    <w:basedOn w:val="CommentText"/>
    <w:next w:val="CommentText"/>
    <w:link w:val="CommentSubjectChar"/>
    <w:uiPriority w:val="99"/>
    <w:semiHidden/>
    <w:unhideWhenUsed/>
    <w:rsid w:val="00A1338A"/>
    <w:pPr>
      <w:spacing w:before="0" w:after="0"/>
    </w:pPr>
    <w:rPr>
      <w:rFonts w:eastAsiaTheme="minorHAnsi"/>
      <w:b/>
      <w:bCs/>
      <w:lang w:val="en-AU"/>
    </w:rPr>
  </w:style>
  <w:style w:type="character" w:customStyle="1" w:styleId="CommentSubjectChar">
    <w:name w:val="Comment Subject Char"/>
    <w:basedOn w:val="CommentTextChar"/>
    <w:link w:val="CommentSubject"/>
    <w:uiPriority w:val="99"/>
    <w:semiHidden/>
    <w:rsid w:val="00A1338A"/>
    <w:rPr>
      <w:rFonts w:eastAsiaTheme="minorEastAsia"/>
      <w:b/>
      <w:bCs/>
      <w:sz w:val="20"/>
      <w:szCs w:val="20"/>
      <w:lang w:val="en-GB"/>
    </w:rPr>
  </w:style>
  <w:style w:type="character" w:styleId="FollowedHyperlink">
    <w:name w:val="FollowedHyperlink"/>
    <w:basedOn w:val="DefaultParagraphFont"/>
    <w:uiPriority w:val="99"/>
    <w:semiHidden/>
    <w:unhideWhenUsed/>
    <w:rsid w:val="00E96B30"/>
    <w:rPr>
      <w:color w:val="954F72" w:themeColor="followedHyperlink"/>
      <w:u w:val="single"/>
    </w:rPr>
  </w:style>
  <w:style w:type="paragraph" w:styleId="Revision">
    <w:name w:val="Revision"/>
    <w:hidden/>
    <w:uiPriority w:val="99"/>
    <w:semiHidden/>
    <w:rsid w:val="00341556"/>
  </w:style>
  <w:style w:type="character" w:styleId="UnresolvedMention">
    <w:name w:val="Unresolved Mention"/>
    <w:basedOn w:val="DefaultParagraphFont"/>
    <w:uiPriority w:val="99"/>
    <w:semiHidden/>
    <w:unhideWhenUsed/>
    <w:rsid w:val="00C51456"/>
    <w:rPr>
      <w:color w:val="605E5C"/>
      <w:shd w:val="clear" w:color="auto" w:fill="E1DFDD"/>
    </w:rPr>
  </w:style>
  <w:style w:type="character" w:customStyle="1" w:styleId="apple-converted-space">
    <w:name w:val="apple-converted-space"/>
    <w:basedOn w:val="DefaultParagraphFont"/>
    <w:rsid w:val="005E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3243">
      <w:bodyDiv w:val="1"/>
      <w:marLeft w:val="0"/>
      <w:marRight w:val="0"/>
      <w:marTop w:val="0"/>
      <w:marBottom w:val="0"/>
      <w:divBdr>
        <w:top w:val="none" w:sz="0" w:space="0" w:color="auto"/>
        <w:left w:val="none" w:sz="0" w:space="0" w:color="auto"/>
        <w:bottom w:val="none" w:sz="0" w:space="0" w:color="auto"/>
        <w:right w:val="none" w:sz="0" w:space="0" w:color="auto"/>
      </w:divBdr>
      <w:divsChild>
        <w:div w:id="1787768682">
          <w:marLeft w:val="0"/>
          <w:marRight w:val="0"/>
          <w:marTop w:val="0"/>
          <w:marBottom w:val="0"/>
          <w:divBdr>
            <w:top w:val="none" w:sz="0" w:space="0" w:color="auto"/>
            <w:left w:val="none" w:sz="0" w:space="0" w:color="auto"/>
            <w:bottom w:val="none" w:sz="0" w:space="0" w:color="auto"/>
            <w:right w:val="none" w:sz="0" w:space="0" w:color="auto"/>
          </w:divBdr>
          <w:divsChild>
            <w:div w:id="1936555023">
              <w:marLeft w:val="0"/>
              <w:marRight w:val="0"/>
              <w:marTop w:val="0"/>
              <w:marBottom w:val="0"/>
              <w:divBdr>
                <w:top w:val="none" w:sz="0" w:space="0" w:color="auto"/>
                <w:left w:val="none" w:sz="0" w:space="0" w:color="auto"/>
                <w:bottom w:val="none" w:sz="0" w:space="0" w:color="auto"/>
                <w:right w:val="none" w:sz="0" w:space="0" w:color="auto"/>
              </w:divBdr>
              <w:divsChild>
                <w:div w:id="2120180636">
                  <w:marLeft w:val="0"/>
                  <w:marRight w:val="0"/>
                  <w:marTop w:val="0"/>
                  <w:marBottom w:val="0"/>
                  <w:divBdr>
                    <w:top w:val="none" w:sz="0" w:space="0" w:color="auto"/>
                    <w:left w:val="none" w:sz="0" w:space="0" w:color="auto"/>
                    <w:bottom w:val="none" w:sz="0" w:space="0" w:color="auto"/>
                    <w:right w:val="none" w:sz="0" w:space="0" w:color="auto"/>
                  </w:divBdr>
                  <w:divsChild>
                    <w:div w:id="16988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510">
      <w:bodyDiv w:val="1"/>
      <w:marLeft w:val="0"/>
      <w:marRight w:val="0"/>
      <w:marTop w:val="0"/>
      <w:marBottom w:val="0"/>
      <w:divBdr>
        <w:top w:val="none" w:sz="0" w:space="0" w:color="auto"/>
        <w:left w:val="none" w:sz="0" w:space="0" w:color="auto"/>
        <w:bottom w:val="none" w:sz="0" w:space="0" w:color="auto"/>
        <w:right w:val="none" w:sz="0" w:space="0" w:color="auto"/>
      </w:divBdr>
      <w:divsChild>
        <w:div w:id="431896637">
          <w:marLeft w:val="0"/>
          <w:marRight w:val="0"/>
          <w:marTop w:val="0"/>
          <w:marBottom w:val="0"/>
          <w:divBdr>
            <w:top w:val="none" w:sz="0" w:space="0" w:color="auto"/>
            <w:left w:val="none" w:sz="0" w:space="0" w:color="auto"/>
            <w:bottom w:val="none" w:sz="0" w:space="0" w:color="auto"/>
            <w:right w:val="none" w:sz="0" w:space="0" w:color="auto"/>
          </w:divBdr>
          <w:divsChild>
            <w:div w:id="1151363093">
              <w:marLeft w:val="0"/>
              <w:marRight w:val="0"/>
              <w:marTop w:val="0"/>
              <w:marBottom w:val="0"/>
              <w:divBdr>
                <w:top w:val="none" w:sz="0" w:space="0" w:color="auto"/>
                <w:left w:val="none" w:sz="0" w:space="0" w:color="auto"/>
                <w:bottom w:val="none" w:sz="0" w:space="0" w:color="auto"/>
                <w:right w:val="none" w:sz="0" w:space="0" w:color="auto"/>
              </w:divBdr>
              <w:divsChild>
                <w:div w:id="417482568">
                  <w:marLeft w:val="0"/>
                  <w:marRight w:val="0"/>
                  <w:marTop w:val="0"/>
                  <w:marBottom w:val="0"/>
                  <w:divBdr>
                    <w:top w:val="none" w:sz="0" w:space="0" w:color="auto"/>
                    <w:left w:val="none" w:sz="0" w:space="0" w:color="auto"/>
                    <w:bottom w:val="none" w:sz="0" w:space="0" w:color="auto"/>
                    <w:right w:val="none" w:sz="0" w:space="0" w:color="auto"/>
                  </w:divBdr>
                  <w:divsChild>
                    <w:div w:id="20632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9307">
      <w:bodyDiv w:val="1"/>
      <w:marLeft w:val="0"/>
      <w:marRight w:val="0"/>
      <w:marTop w:val="0"/>
      <w:marBottom w:val="0"/>
      <w:divBdr>
        <w:top w:val="none" w:sz="0" w:space="0" w:color="auto"/>
        <w:left w:val="none" w:sz="0" w:space="0" w:color="auto"/>
        <w:bottom w:val="none" w:sz="0" w:space="0" w:color="auto"/>
        <w:right w:val="none" w:sz="0" w:space="0" w:color="auto"/>
      </w:divBdr>
    </w:div>
    <w:div w:id="133837959">
      <w:bodyDiv w:val="1"/>
      <w:marLeft w:val="0"/>
      <w:marRight w:val="0"/>
      <w:marTop w:val="0"/>
      <w:marBottom w:val="0"/>
      <w:divBdr>
        <w:top w:val="none" w:sz="0" w:space="0" w:color="auto"/>
        <w:left w:val="none" w:sz="0" w:space="0" w:color="auto"/>
        <w:bottom w:val="none" w:sz="0" w:space="0" w:color="auto"/>
        <w:right w:val="none" w:sz="0" w:space="0" w:color="auto"/>
      </w:divBdr>
      <w:divsChild>
        <w:div w:id="1621035652">
          <w:marLeft w:val="0"/>
          <w:marRight w:val="0"/>
          <w:marTop w:val="0"/>
          <w:marBottom w:val="0"/>
          <w:divBdr>
            <w:top w:val="none" w:sz="0" w:space="0" w:color="auto"/>
            <w:left w:val="none" w:sz="0" w:space="0" w:color="auto"/>
            <w:bottom w:val="none" w:sz="0" w:space="0" w:color="auto"/>
            <w:right w:val="none" w:sz="0" w:space="0" w:color="auto"/>
          </w:divBdr>
          <w:divsChild>
            <w:div w:id="1775133098">
              <w:marLeft w:val="0"/>
              <w:marRight w:val="0"/>
              <w:marTop w:val="0"/>
              <w:marBottom w:val="0"/>
              <w:divBdr>
                <w:top w:val="none" w:sz="0" w:space="0" w:color="auto"/>
                <w:left w:val="none" w:sz="0" w:space="0" w:color="auto"/>
                <w:bottom w:val="none" w:sz="0" w:space="0" w:color="auto"/>
                <w:right w:val="none" w:sz="0" w:space="0" w:color="auto"/>
              </w:divBdr>
              <w:divsChild>
                <w:div w:id="1394354602">
                  <w:marLeft w:val="0"/>
                  <w:marRight w:val="0"/>
                  <w:marTop w:val="0"/>
                  <w:marBottom w:val="0"/>
                  <w:divBdr>
                    <w:top w:val="none" w:sz="0" w:space="0" w:color="auto"/>
                    <w:left w:val="none" w:sz="0" w:space="0" w:color="auto"/>
                    <w:bottom w:val="none" w:sz="0" w:space="0" w:color="auto"/>
                    <w:right w:val="none" w:sz="0" w:space="0" w:color="auto"/>
                  </w:divBdr>
                  <w:divsChild>
                    <w:div w:id="11186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2823">
      <w:bodyDiv w:val="1"/>
      <w:marLeft w:val="0"/>
      <w:marRight w:val="0"/>
      <w:marTop w:val="0"/>
      <w:marBottom w:val="0"/>
      <w:divBdr>
        <w:top w:val="none" w:sz="0" w:space="0" w:color="auto"/>
        <w:left w:val="none" w:sz="0" w:space="0" w:color="auto"/>
        <w:bottom w:val="none" w:sz="0" w:space="0" w:color="auto"/>
        <w:right w:val="none" w:sz="0" w:space="0" w:color="auto"/>
      </w:divBdr>
    </w:div>
    <w:div w:id="140468871">
      <w:bodyDiv w:val="1"/>
      <w:marLeft w:val="0"/>
      <w:marRight w:val="0"/>
      <w:marTop w:val="0"/>
      <w:marBottom w:val="0"/>
      <w:divBdr>
        <w:top w:val="none" w:sz="0" w:space="0" w:color="auto"/>
        <w:left w:val="none" w:sz="0" w:space="0" w:color="auto"/>
        <w:bottom w:val="none" w:sz="0" w:space="0" w:color="auto"/>
        <w:right w:val="none" w:sz="0" w:space="0" w:color="auto"/>
      </w:divBdr>
    </w:div>
    <w:div w:id="196360661">
      <w:bodyDiv w:val="1"/>
      <w:marLeft w:val="0"/>
      <w:marRight w:val="0"/>
      <w:marTop w:val="0"/>
      <w:marBottom w:val="0"/>
      <w:divBdr>
        <w:top w:val="none" w:sz="0" w:space="0" w:color="auto"/>
        <w:left w:val="none" w:sz="0" w:space="0" w:color="auto"/>
        <w:bottom w:val="none" w:sz="0" w:space="0" w:color="auto"/>
        <w:right w:val="none" w:sz="0" w:space="0" w:color="auto"/>
      </w:divBdr>
      <w:divsChild>
        <w:div w:id="1193541899">
          <w:marLeft w:val="0"/>
          <w:marRight w:val="0"/>
          <w:marTop w:val="0"/>
          <w:marBottom w:val="0"/>
          <w:divBdr>
            <w:top w:val="none" w:sz="0" w:space="0" w:color="auto"/>
            <w:left w:val="none" w:sz="0" w:space="0" w:color="auto"/>
            <w:bottom w:val="none" w:sz="0" w:space="0" w:color="auto"/>
            <w:right w:val="none" w:sz="0" w:space="0" w:color="auto"/>
          </w:divBdr>
          <w:divsChild>
            <w:div w:id="646786730">
              <w:marLeft w:val="0"/>
              <w:marRight w:val="0"/>
              <w:marTop w:val="0"/>
              <w:marBottom w:val="0"/>
              <w:divBdr>
                <w:top w:val="none" w:sz="0" w:space="0" w:color="auto"/>
                <w:left w:val="none" w:sz="0" w:space="0" w:color="auto"/>
                <w:bottom w:val="none" w:sz="0" w:space="0" w:color="auto"/>
                <w:right w:val="none" w:sz="0" w:space="0" w:color="auto"/>
              </w:divBdr>
              <w:divsChild>
                <w:div w:id="1211501166">
                  <w:marLeft w:val="0"/>
                  <w:marRight w:val="0"/>
                  <w:marTop w:val="0"/>
                  <w:marBottom w:val="0"/>
                  <w:divBdr>
                    <w:top w:val="none" w:sz="0" w:space="0" w:color="auto"/>
                    <w:left w:val="none" w:sz="0" w:space="0" w:color="auto"/>
                    <w:bottom w:val="none" w:sz="0" w:space="0" w:color="auto"/>
                    <w:right w:val="none" w:sz="0" w:space="0" w:color="auto"/>
                  </w:divBdr>
                  <w:divsChild>
                    <w:div w:id="5153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4246">
      <w:bodyDiv w:val="1"/>
      <w:marLeft w:val="0"/>
      <w:marRight w:val="0"/>
      <w:marTop w:val="0"/>
      <w:marBottom w:val="0"/>
      <w:divBdr>
        <w:top w:val="none" w:sz="0" w:space="0" w:color="auto"/>
        <w:left w:val="none" w:sz="0" w:space="0" w:color="auto"/>
        <w:bottom w:val="none" w:sz="0" w:space="0" w:color="auto"/>
        <w:right w:val="none" w:sz="0" w:space="0" w:color="auto"/>
      </w:divBdr>
      <w:divsChild>
        <w:div w:id="977105315">
          <w:marLeft w:val="0"/>
          <w:marRight w:val="0"/>
          <w:marTop w:val="0"/>
          <w:marBottom w:val="0"/>
          <w:divBdr>
            <w:top w:val="none" w:sz="0" w:space="0" w:color="auto"/>
            <w:left w:val="none" w:sz="0" w:space="0" w:color="auto"/>
            <w:bottom w:val="none" w:sz="0" w:space="0" w:color="auto"/>
            <w:right w:val="none" w:sz="0" w:space="0" w:color="auto"/>
          </w:divBdr>
          <w:divsChild>
            <w:div w:id="103775022">
              <w:marLeft w:val="0"/>
              <w:marRight w:val="0"/>
              <w:marTop w:val="0"/>
              <w:marBottom w:val="0"/>
              <w:divBdr>
                <w:top w:val="none" w:sz="0" w:space="0" w:color="auto"/>
                <w:left w:val="none" w:sz="0" w:space="0" w:color="auto"/>
                <w:bottom w:val="none" w:sz="0" w:space="0" w:color="auto"/>
                <w:right w:val="none" w:sz="0" w:space="0" w:color="auto"/>
              </w:divBdr>
              <w:divsChild>
                <w:div w:id="1132603205">
                  <w:marLeft w:val="0"/>
                  <w:marRight w:val="0"/>
                  <w:marTop w:val="0"/>
                  <w:marBottom w:val="0"/>
                  <w:divBdr>
                    <w:top w:val="none" w:sz="0" w:space="0" w:color="auto"/>
                    <w:left w:val="none" w:sz="0" w:space="0" w:color="auto"/>
                    <w:bottom w:val="none" w:sz="0" w:space="0" w:color="auto"/>
                    <w:right w:val="none" w:sz="0" w:space="0" w:color="auto"/>
                  </w:divBdr>
                  <w:divsChild>
                    <w:div w:id="11136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7496">
      <w:bodyDiv w:val="1"/>
      <w:marLeft w:val="0"/>
      <w:marRight w:val="0"/>
      <w:marTop w:val="0"/>
      <w:marBottom w:val="0"/>
      <w:divBdr>
        <w:top w:val="none" w:sz="0" w:space="0" w:color="auto"/>
        <w:left w:val="none" w:sz="0" w:space="0" w:color="auto"/>
        <w:bottom w:val="none" w:sz="0" w:space="0" w:color="auto"/>
        <w:right w:val="none" w:sz="0" w:space="0" w:color="auto"/>
      </w:divBdr>
      <w:divsChild>
        <w:div w:id="161434318">
          <w:marLeft w:val="0"/>
          <w:marRight w:val="0"/>
          <w:marTop w:val="0"/>
          <w:marBottom w:val="0"/>
          <w:divBdr>
            <w:top w:val="none" w:sz="0" w:space="0" w:color="auto"/>
            <w:left w:val="none" w:sz="0" w:space="0" w:color="auto"/>
            <w:bottom w:val="none" w:sz="0" w:space="0" w:color="auto"/>
            <w:right w:val="none" w:sz="0" w:space="0" w:color="auto"/>
          </w:divBdr>
        </w:div>
        <w:div w:id="323630036">
          <w:marLeft w:val="0"/>
          <w:marRight w:val="0"/>
          <w:marTop w:val="0"/>
          <w:marBottom w:val="0"/>
          <w:divBdr>
            <w:top w:val="none" w:sz="0" w:space="0" w:color="auto"/>
            <w:left w:val="none" w:sz="0" w:space="0" w:color="auto"/>
            <w:bottom w:val="none" w:sz="0" w:space="0" w:color="auto"/>
            <w:right w:val="none" w:sz="0" w:space="0" w:color="auto"/>
          </w:divBdr>
        </w:div>
        <w:div w:id="814177050">
          <w:marLeft w:val="0"/>
          <w:marRight w:val="0"/>
          <w:marTop w:val="0"/>
          <w:marBottom w:val="0"/>
          <w:divBdr>
            <w:top w:val="none" w:sz="0" w:space="0" w:color="auto"/>
            <w:left w:val="none" w:sz="0" w:space="0" w:color="auto"/>
            <w:bottom w:val="none" w:sz="0" w:space="0" w:color="auto"/>
            <w:right w:val="none" w:sz="0" w:space="0" w:color="auto"/>
          </w:divBdr>
        </w:div>
        <w:div w:id="917329469">
          <w:marLeft w:val="0"/>
          <w:marRight w:val="0"/>
          <w:marTop w:val="0"/>
          <w:marBottom w:val="0"/>
          <w:divBdr>
            <w:top w:val="none" w:sz="0" w:space="0" w:color="auto"/>
            <w:left w:val="none" w:sz="0" w:space="0" w:color="auto"/>
            <w:bottom w:val="none" w:sz="0" w:space="0" w:color="auto"/>
            <w:right w:val="none" w:sz="0" w:space="0" w:color="auto"/>
          </w:divBdr>
        </w:div>
        <w:div w:id="1025324831">
          <w:marLeft w:val="0"/>
          <w:marRight w:val="0"/>
          <w:marTop w:val="0"/>
          <w:marBottom w:val="0"/>
          <w:divBdr>
            <w:top w:val="none" w:sz="0" w:space="0" w:color="auto"/>
            <w:left w:val="none" w:sz="0" w:space="0" w:color="auto"/>
            <w:bottom w:val="none" w:sz="0" w:space="0" w:color="auto"/>
            <w:right w:val="none" w:sz="0" w:space="0" w:color="auto"/>
          </w:divBdr>
          <w:divsChild>
            <w:div w:id="1582829187">
              <w:marLeft w:val="0"/>
              <w:marRight w:val="0"/>
              <w:marTop w:val="0"/>
              <w:marBottom w:val="0"/>
              <w:divBdr>
                <w:top w:val="none" w:sz="0" w:space="0" w:color="auto"/>
                <w:left w:val="none" w:sz="0" w:space="0" w:color="auto"/>
                <w:bottom w:val="none" w:sz="0" w:space="0" w:color="auto"/>
                <w:right w:val="none" w:sz="0" w:space="0" w:color="auto"/>
              </w:divBdr>
              <w:divsChild>
                <w:div w:id="13648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866">
          <w:marLeft w:val="0"/>
          <w:marRight w:val="0"/>
          <w:marTop w:val="0"/>
          <w:marBottom w:val="0"/>
          <w:divBdr>
            <w:top w:val="none" w:sz="0" w:space="0" w:color="auto"/>
            <w:left w:val="none" w:sz="0" w:space="0" w:color="auto"/>
            <w:bottom w:val="none" w:sz="0" w:space="0" w:color="auto"/>
            <w:right w:val="none" w:sz="0" w:space="0" w:color="auto"/>
          </w:divBdr>
        </w:div>
        <w:div w:id="1745561936">
          <w:marLeft w:val="0"/>
          <w:marRight w:val="0"/>
          <w:marTop w:val="0"/>
          <w:marBottom w:val="0"/>
          <w:divBdr>
            <w:top w:val="none" w:sz="0" w:space="0" w:color="auto"/>
            <w:left w:val="none" w:sz="0" w:space="0" w:color="auto"/>
            <w:bottom w:val="none" w:sz="0" w:space="0" w:color="auto"/>
            <w:right w:val="none" w:sz="0" w:space="0" w:color="auto"/>
          </w:divBdr>
        </w:div>
        <w:div w:id="2081562747">
          <w:marLeft w:val="0"/>
          <w:marRight w:val="0"/>
          <w:marTop w:val="0"/>
          <w:marBottom w:val="0"/>
          <w:divBdr>
            <w:top w:val="none" w:sz="0" w:space="0" w:color="auto"/>
            <w:left w:val="none" w:sz="0" w:space="0" w:color="auto"/>
            <w:bottom w:val="none" w:sz="0" w:space="0" w:color="auto"/>
            <w:right w:val="none" w:sz="0" w:space="0" w:color="auto"/>
          </w:divBdr>
          <w:divsChild>
            <w:div w:id="1335455458">
              <w:marLeft w:val="0"/>
              <w:marRight w:val="0"/>
              <w:marTop w:val="0"/>
              <w:marBottom w:val="0"/>
              <w:divBdr>
                <w:top w:val="none" w:sz="0" w:space="0" w:color="auto"/>
                <w:left w:val="none" w:sz="0" w:space="0" w:color="auto"/>
                <w:bottom w:val="none" w:sz="0" w:space="0" w:color="auto"/>
                <w:right w:val="none" w:sz="0" w:space="0" w:color="auto"/>
              </w:divBdr>
            </w:div>
            <w:div w:id="1364868853">
              <w:marLeft w:val="0"/>
              <w:marRight w:val="0"/>
              <w:marTop w:val="0"/>
              <w:marBottom w:val="0"/>
              <w:divBdr>
                <w:top w:val="none" w:sz="0" w:space="0" w:color="auto"/>
                <w:left w:val="none" w:sz="0" w:space="0" w:color="auto"/>
                <w:bottom w:val="none" w:sz="0" w:space="0" w:color="auto"/>
                <w:right w:val="none" w:sz="0" w:space="0" w:color="auto"/>
              </w:divBdr>
            </w:div>
          </w:divsChild>
        </w:div>
        <w:div w:id="2123065460">
          <w:marLeft w:val="0"/>
          <w:marRight w:val="0"/>
          <w:marTop w:val="0"/>
          <w:marBottom w:val="0"/>
          <w:divBdr>
            <w:top w:val="none" w:sz="0" w:space="0" w:color="auto"/>
            <w:left w:val="none" w:sz="0" w:space="0" w:color="auto"/>
            <w:bottom w:val="none" w:sz="0" w:space="0" w:color="auto"/>
            <w:right w:val="none" w:sz="0" w:space="0" w:color="auto"/>
          </w:divBdr>
        </w:div>
      </w:divsChild>
    </w:div>
    <w:div w:id="434980098">
      <w:bodyDiv w:val="1"/>
      <w:marLeft w:val="0"/>
      <w:marRight w:val="0"/>
      <w:marTop w:val="0"/>
      <w:marBottom w:val="0"/>
      <w:divBdr>
        <w:top w:val="none" w:sz="0" w:space="0" w:color="auto"/>
        <w:left w:val="none" w:sz="0" w:space="0" w:color="auto"/>
        <w:bottom w:val="none" w:sz="0" w:space="0" w:color="auto"/>
        <w:right w:val="none" w:sz="0" w:space="0" w:color="auto"/>
      </w:divBdr>
    </w:div>
    <w:div w:id="531462551">
      <w:bodyDiv w:val="1"/>
      <w:marLeft w:val="0"/>
      <w:marRight w:val="0"/>
      <w:marTop w:val="0"/>
      <w:marBottom w:val="0"/>
      <w:divBdr>
        <w:top w:val="none" w:sz="0" w:space="0" w:color="auto"/>
        <w:left w:val="none" w:sz="0" w:space="0" w:color="auto"/>
        <w:bottom w:val="none" w:sz="0" w:space="0" w:color="auto"/>
        <w:right w:val="none" w:sz="0" w:space="0" w:color="auto"/>
      </w:divBdr>
    </w:div>
    <w:div w:id="613706690">
      <w:bodyDiv w:val="1"/>
      <w:marLeft w:val="0"/>
      <w:marRight w:val="0"/>
      <w:marTop w:val="0"/>
      <w:marBottom w:val="0"/>
      <w:divBdr>
        <w:top w:val="none" w:sz="0" w:space="0" w:color="auto"/>
        <w:left w:val="none" w:sz="0" w:space="0" w:color="auto"/>
        <w:bottom w:val="none" w:sz="0" w:space="0" w:color="auto"/>
        <w:right w:val="none" w:sz="0" w:space="0" w:color="auto"/>
      </w:divBdr>
    </w:div>
    <w:div w:id="822233497">
      <w:bodyDiv w:val="1"/>
      <w:marLeft w:val="0"/>
      <w:marRight w:val="0"/>
      <w:marTop w:val="0"/>
      <w:marBottom w:val="0"/>
      <w:divBdr>
        <w:top w:val="none" w:sz="0" w:space="0" w:color="auto"/>
        <w:left w:val="none" w:sz="0" w:space="0" w:color="auto"/>
        <w:bottom w:val="none" w:sz="0" w:space="0" w:color="auto"/>
        <w:right w:val="none" w:sz="0" w:space="0" w:color="auto"/>
      </w:divBdr>
      <w:divsChild>
        <w:div w:id="1174800326">
          <w:marLeft w:val="0"/>
          <w:marRight w:val="0"/>
          <w:marTop w:val="0"/>
          <w:marBottom w:val="0"/>
          <w:divBdr>
            <w:top w:val="none" w:sz="0" w:space="0" w:color="auto"/>
            <w:left w:val="none" w:sz="0" w:space="0" w:color="auto"/>
            <w:bottom w:val="none" w:sz="0" w:space="0" w:color="auto"/>
            <w:right w:val="none" w:sz="0" w:space="0" w:color="auto"/>
          </w:divBdr>
          <w:divsChild>
            <w:div w:id="1434395198">
              <w:marLeft w:val="0"/>
              <w:marRight w:val="0"/>
              <w:marTop w:val="0"/>
              <w:marBottom w:val="0"/>
              <w:divBdr>
                <w:top w:val="none" w:sz="0" w:space="0" w:color="auto"/>
                <w:left w:val="none" w:sz="0" w:space="0" w:color="auto"/>
                <w:bottom w:val="none" w:sz="0" w:space="0" w:color="auto"/>
                <w:right w:val="none" w:sz="0" w:space="0" w:color="auto"/>
              </w:divBdr>
              <w:divsChild>
                <w:div w:id="1737047870">
                  <w:marLeft w:val="0"/>
                  <w:marRight w:val="0"/>
                  <w:marTop w:val="0"/>
                  <w:marBottom w:val="0"/>
                  <w:divBdr>
                    <w:top w:val="none" w:sz="0" w:space="0" w:color="auto"/>
                    <w:left w:val="none" w:sz="0" w:space="0" w:color="auto"/>
                    <w:bottom w:val="none" w:sz="0" w:space="0" w:color="auto"/>
                    <w:right w:val="none" w:sz="0" w:space="0" w:color="auto"/>
                  </w:divBdr>
                  <w:divsChild>
                    <w:div w:id="5212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5107">
      <w:bodyDiv w:val="1"/>
      <w:marLeft w:val="0"/>
      <w:marRight w:val="0"/>
      <w:marTop w:val="0"/>
      <w:marBottom w:val="0"/>
      <w:divBdr>
        <w:top w:val="none" w:sz="0" w:space="0" w:color="auto"/>
        <w:left w:val="none" w:sz="0" w:space="0" w:color="auto"/>
        <w:bottom w:val="none" w:sz="0" w:space="0" w:color="auto"/>
        <w:right w:val="none" w:sz="0" w:space="0" w:color="auto"/>
      </w:divBdr>
      <w:divsChild>
        <w:div w:id="220408086">
          <w:marLeft w:val="0"/>
          <w:marRight w:val="0"/>
          <w:marTop w:val="0"/>
          <w:marBottom w:val="0"/>
          <w:divBdr>
            <w:top w:val="none" w:sz="0" w:space="0" w:color="auto"/>
            <w:left w:val="none" w:sz="0" w:space="0" w:color="auto"/>
            <w:bottom w:val="none" w:sz="0" w:space="0" w:color="auto"/>
            <w:right w:val="none" w:sz="0" w:space="0" w:color="auto"/>
          </w:divBdr>
          <w:divsChild>
            <w:div w:id="1048840166">
              <w:marLeft w:val="0"/>
              <w:marRight w:val="0"/>
              <w:marTop w:val="0"/>
              <w:marBottom w:val="0"/>
              <w:divBdr>
                <w:top w:val="none" w:sz="0" w:space="0" w:color="auto"/>
                <w:left w:val="none" w:sz="0" w:space="0" w:color="auto"/>
                <w:bottom w:val="none" w:sz="0" w:space="0" w:color="auto"/>
                <w:right w:val="none" w:sz="0" w:space="0" w:color="auto"/>
              </w:divBdr>
              <w:divsChild>
                <w:div w:id="1786195456">
                  <w:marLeft w:val="0"/>
                  <w:marRight w:val="0"/>
                  <w:marTop w:val="0"/>
                  <w:marBottom w:val="0"/>
                  <w:divBdr>
                    <w:top w:val="none" w:sz="0" w:space="0" w:color="auto"/>
                    <w:left w:val="none" w:sz="0" w:space="0" w:color="auto"/>
                    <w:bottom w:val="none" w:sz="0" w:space="0" w:color="auto"/>
                    <w:right w:val="none" w:sz="0" w:space="0" w:color="auto"/>
                  </w:divBdr>
                  <w:divsChild>
                    <w:div w:id="848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2856">
      <w:bodyDiv w:val="1"/>
      <w:marLeft w:val="0"/>
      <w:marRight w:val="0"/>
      <w:marTop w:val="0"/>
      <w:marBottom w:val="0"/>
      <w:divBdr>
        <w:top w:val="none" w:sz="0" w:space="0" w:color="auto"/>
        <w:left w:val="none" w:sz="0" w:space="0" w:color="auto"/>
        <w:bottom w:val="none" w:sz="0" w:space="0" w:color="auto"/>
        <w:right w:val="none" w:sz="0" w:space="0" w:color="auto"/>
      </w:divBdr>
    </w:div>
    <w:div w:id="1298801103">
      <w:bodyDiv w:val="1"/>
      <w:marLeft w:val="0"/>
      <w:marRight w:val="0"/>
      <w:marTop w:val="0"/>
      <w:marBottom w:val="0"/>
      <w:divBdr>
        <w:top w:val="none" w:sz="0" w:space="0" w:color="auto"/>
        <w:left w:val="none" w:sz="0" w:space="0" w:color="auto"/>
        <w:bottom w:val="none" w:sz="0" w:space="0" w:color="auto"/>
        <w:right w:val="none" w:sz="0" w:space="0" w:color="auto"/>
      </w:divBdr>
      <w:divsChild>
        <w:div w:id="1713379588">
          <w:marLeft w:val="0"/>
          <w:marRight w:val="0"/>
          <w:marTop w:val="0"/>
          <w:marBottom w:val="0"/>
          <w:divBdr>
            <w:top w:val="none" w:sz="0" w:space="0" w:color="auto"/>
            <w:left w:val="none" w:sz="0" w:space="0" w:color="auto"/>
            <w:bottom w:val="none" w:sz="0" w:space="0" w:color="auto"/>
            <w:right w:val="none" w:sz="0" w:space="0" w:color="auto"/>
          </w:divBdr>
          <w:divsChild>
            <w:div w:id="785388521">
              <w:marLeft w:val="0"/>
              <w:marRight w:val="0"/>
              <w:marTop w:val="0"/>
              <w:marBottom w:val="0"/>
              <w:divBdr>
                <w:top w:val="none" w:sz="0" w:space="0" w:color="auto"/>
                <w:left w:val="none" w:sz="0" w:space="0" w:color="auto"/>
                <w:bottom w:val="none" w:sz="0" w:space="0" w:color="auto"/>
                <w:right w:val="none" w:sz="0" w:space="0" w:color="auto"/>
              </w:divBdr>
              <w:divsChild>
                <w:div w:id="1271932518">
                  <w:marLeft w:val="0"/>
                  <w:marRight w:val="0"/>
                  <w:marTop w:val="0"/>
                  <w:marBottom w:val="0"/>
                  <w:divBdr>
                    <w:top w:val="none" w:sz="0" w:space="0" w:color="auto"/>
                    <w:left w:val="none" w:sz="0" w:space="0" w:color="auto"/>
                    <w:bottom w:val="none" w:sz="0" w:space="0" w:color="auto"/>
                    <w:right w:val="none" w:sz="0" w:space="0" w:color="auto"/>
                  </w:divBdr>
                  <w:divsChild>
                    <w:div w:id="3580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08">
      <w:bodyDiv w:val="1"/>
      <w:marLeft w:val="0"/>
      <w:marRight w:val="0"/>
      <w:marTop w:val="0"/>
      <w:marBottom w:val="0"/>
      <w:divBdr>
        <w:top w:val="none" w:sz="0" w:space="0" w:color="auto"/>
        <w:left w:val="none" w:sz="0" w:space="0" w:color="auto"/>
        <w:bottom w:val="none" w:sz="0" w:space="0" w:color="auto"/>
        <w:right w:val="none" w:sz="0" w:space="0" w:color="auto"/>
      </w:divBdr>
    </w:div>
    <w:div w:id="1559586355">
      <w:bodyDiv w:val="1"/>
      <w:marLeft w:val="0"/>
      <w:marRight w:val="0"/>
      <w:marTop w:val="0"/>
      <w:marBottom w:val="0"/>
      <w:divBdr>
        <w:top w:val="none" w:sz="0" w:space="0" w:color="auto"/>
        <w:left w:val="none" w:sz="0" w:space="0" w:color="auto"/>
        <w:bottom w:val="none" w:sz="0" w:space="0" w:color="auto"/>
        <w:right w:val="none" w:sz="0" w:space="0" w:color="auto"/>
      </w:divBdr>
    </w:div>
    <w:div w:id="1569801130">
      <w:bodyDiv w:val="1"/>
      <w:marLeft w:val="0"/>
      <w:marRight w:val="0"/>
      <w:marTop w:val="0"/>
      <w:marBottom w:val="0"/>
      <w:divBdr>
        <w:top w:val="none" w:sz="0" w:space="0" w:color="auto"/>
        <w:left w:val="none" w:sz="0" w:space="0" w:color="auto"/>
        <w:bottom w:val="none" w:sz="0" w:space="0" w:color="auto"/>
        <w:right w:val="none" w:sz="0" w:space="0" w:color="auto"/>
      </w:divBdr>
      <w:divsChild>
        <w:div w:id="1582367306">
          <w:marLeft w:val="0"/>
          <w:marRight w:val="0"/>
          <w:marTop w:val="0"/>
          <w:marBottom w:val="0"/>
          <w:divBdr>
            <w:top w:val="none" w:sz="0" w:space="0" w:color="auto"/>
            <w:left w:val="none" w:sz="0" w:space="0" w:color="auto"/>
            <w:bottom w:val="none" w:sz="0" w:space="0" w:color="auto"/>
            <w:right w:val="none" w:sz="0" w:space="0" w:color="auto"/>
          </w:divBdr>
          <w:divsChild>
            <w:div w:id="496925350">
              <w:marLeft w:val="0"/>
              <w:marRight w:val="0"/>
              <w:marTop w:val="0"/>
              <w:marBottom w:val="0"/>
              <w:divBdr>
                <w:top w:val="none" w:sz="0" w:space="0" w:color="auto"/>
                <w:left w:val="none" w:sz="0" w:space="0" w:color="auto"/>
                <w:bottom w:val="none" w:sz="0" w:space="0" w:color="auto"/>
                <w:right w:val="none" w:sz="0" w:space="0" w:color="auto"/>
              </w:divBdr>
              <w:divsChild>
                <w:div w:id="250509668">
                  <w:marLeft w:val="0"/>
                  <w:marRight w:val="0"/>
                  <w:marTop w:val="0"/>
                  <w:marBottom w:val="0"/>
                  <w:divBdr>
                    <w:top w:val="none" w:sz="0" w:space="0" w:color="auto"/>
                    <w:left w:val="none" w:sz="0" w:space="0" w:color="auto"/>
                    <w:bottom w:val="none" w:sz="0" w:space="0" w:color="auto"/>
                    <w:right w:val="none" w:sz="0" w:space="0" w:color="auto"/>
                  </w:divBdr>
                  <w:divsChild>
                    <w:div w:id="20618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3118">
      <w:bodyDiv w:val="1"/>
      <w:marLeft w:val="0"/>
      <w:marRight w:val="0"/>
      <w:marTop w:val="0"/>
      <w:marBottom w:val="0"/>
      <w:divBdr>
        <w:top w:val="none" w:sz="0" w:space="0" w:color="auto"/>
        <w:left w:val="none" w:sz="0" w:space="0" w:color="auto"/>
        <w:bottom w:val="none" w:sz="0" w:space="0" w:color="auto"/>
        <w:right w:val="none" w:sz="0" w:space="0" w:color="auto"/>
      </w:divBdr>
    </w:div>
    <w:div w:id="1716739434">
      <w:bodyDiv w:val="1"/>
      <w:marLeft w:val="0"/>
      <w:marRight w:val="0"/>
      <w:marTop w:val="0"/>
      <w:marBottom w:val="0"/>
      <w:divBdr>
        <w:top w:val="none" w:sz="0" w:space="0" w:color="auto"/>
        <w:left w:val="none" w:sz="0" w:space="0" w:color="auto"/>
        <w:bottom w:val="none" w:sz="0" w:space="0" w:color="auto"/>
        <w:right w:val="none" w:sz="0" w:space="0" w:color="auto"/>
      </w:divBdr>
    </w:div>
    <w:div w:id="1775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rtner@latrobe.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powerbi.com/view?r=eyJrIjoiOTljMTY5YzYtYzYwNS00YjFlLWE1YTEtZTg2ZmMwNWU0MzRiIiwidCI6ImRkMGNmZDE1LTQ1NTgtNGIxMi04YmFkLWVhMjY5ODRmYzQxNyJ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hdl.voced.edu.au/10707/152620" TargetMode="External"/><Relationship Id="rId2" Type="http://schemas.openxmlformats.org/officeDocument/2006/relationships/hyperlink" Target="https://docs.education.gov.au/system/files/doc/other/national_regional_rural_and_remote_tertiary_education_strategy.pdf" TargetMode="External"/><Relationship Id="rId1" Type="http://schemas.openxmlformats.org/officeDocument/2006/relationships/hyperlink" Target="https://www.dss.gov.au/sites/default/files/documents/05_2012/national_disability_strategy_2010_2020.pdf" TargetMode="External"/><Relationship Id="rId6" Type="http://schemas.openxmlformats.org/officeDocument/2006/relationships/hyperlink" Target="https://www.legislation.gov.au/Series/F2012L00281" TargetMode="External"/><Relationship Id="rId5" Type="http://schemas.openxmlformats.org/officeDocument/2006/relationships/hyperlink" Target="https://www.qilt.edu.au/docs/default-source/default-document-library/qilt-gos-national-report-2018.pdf?sfvrsn=23f7ec3c_0" TargetMode="External"/><Relationship Id="rId4" Type="http://schemas.openxmlformats.org/officeDocument/2006/relationships/hyperlink" Target="https://docs-edu.govcms.gov.au/system/files/doc/other/performance-based_funding_scheme_technical_guide_final_3feb2020.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Annual Spend Per Equity Student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Spend Per Student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Non-English Speaking Background (NESB)</c:v>
                </c:pt>
                <c:pt idx="1">
                  <c:v>Students with Disability</c:v>
                </c:pt>
                <c:pt idx="2">
                  <c:v>Regional</c:v>
                </c:pt>
                <c:pt idx="3">
                  <c:v>Low Socio-Economic Status (Low SES)</c:v>
                </c:pt>
                <c:pt idx="4">
                  <c:v>Indigenous</c:v>
                </c:pt>
              </c:strCache>
            </c:strRef>
          </c:cat>
          <c:val>
            <c:numRef>
              <c:f>Sheet1!$B$2:$B$6</c:f>
              <c:numCache>
                <c:formatCode>"$"#,##0.00_);[Red]\("$"#,##0.00\)</c:formatCode>
                <c:ptCount val="5"/>
                <c:pt idx="0" formatCode="&quot;$&quot;#,##0_);[Red]\(&quot;$&quot;#,##0\)">
                  <c:v>0</c:v>
                </c:pt>
                <c:pt idx="1">
                  <c:v>173.36</c:v>
                </c:pt>
                <c:pt idx="2">
                  <c:v>608.98</c:v>
                </c:pt>
                <c:pt idx="3">
                  <c:v>826.68</c:v>
                </c:pt>
                <c:pt idx="4" formatCode="&quot;$&quot;#,##0.00">
                  <c:v>3573.85</c:v>
                </c:pt>
              </c:numCache>
            </c:numRef>
          </c:val>
          <c:extLst>
            <c:ext xmlns:c16="http://schemas.microsoft.com/office/drawing/2014/chart" uri="{C3380CC4-5D6E-409C-BE32-E72D297353CC}">
              <c16:uniqueId val="{00000000-6847-0144-8D5E-ECB8C27E5D66}"/>
            </c:ext>
          </c:extLst>
        </c:ser>
        <c:dLbls>
          <c:showLegendKey val="0"/>
          <c:showVal val="0"/>
          <c:showCatName val="0"/>
          <c:showSerName val="0"/>
          <c:showPercent val="0"/>
          <c:showBubbleSize val="0"/>
        </c:dLbls>
        <c:gapWidth val="219"/>
        <c:overlap val="-27"/>
        <c:axId val="2036723952"/>
        <c:axId val="2036411056"/>
      </c:barChart>
      <c:catAx>
        <c:axId val="203672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411056"/>
        <c:crosses val="autoZero"/>
        <c:auto val="1"/>
        <c:lblAlgn val="ctr"/>
        <c:lblOffset val="100"/>
        <c:noMultiLvlLbl val="0"/>
      </c:catAx>
      <c:valAx>
        <c:axId val="203641105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72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Aus20</b:Tag>
    <b:SourceType>DocumentFromInternetSite</b:SourceType>
    <b:Guid>{0C5DF178-3B28-7846-BC6D-04C1B374883A}</b:Guid>
    <b:Author>
      <b:Author>
        <b:NameList>
          <b:Person>
            <b:Last>Government</b:Last>
            <b:First>Australian</b:First>
          </b:Person>
        </b:NameList>
      </b:Author>
    </b:Author>
    <b:Title>Legislative Instruments</b:Title>
    <b:InternetSiteTitle>Federal Register of Legislation</b:InternetSiteTitle>
    <b:URL>https://www.legislation.gov.au/Series/F2012L00281</b:URL>
    <b:Year>Accessed June 2020</b:Year>
    <b:RefOrder>1</b:RefOrder>
  </b:Source>
</b:Sources>
</file>

<file path=customXml/itemProps1.xml><?xml version="1.0" encoding="utf-8"?>
<ds:datastoreItem xmlns:ds="http://schemas.openxmlformats.org/officeDocument/2006/customXml" ds:itemID="{0FF8B773-96C2-4F1F-A7EF-548E0984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Gartner</cp:lastModifiedBy>
  <cp:revision>3</cp:revision>
  <dcterms:created xsi:type="dcterms:W3CDTF">2020-06-29T07:00:00Z</dcterms:created>
  <dcterms:modified xsi:type="dcterms:W3CDTF">2020-06-29T07:28:00Z</dcterms:modified>
</cp:coreProperties>
</file>